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8A7C" w14:textId="3D9E249B" w:rsidR="00890B8B" w:rsidRPr="0065408A" w:rsidRDefault="00890B8B" w:rsidP="00885C7D">
      <w:pPr>
        <w:spacing w:after="0" w:line="240" w:lineRule="auto"/>
        <w:jc w:val="center"/>
        <w:rPr>
          <w:rFonts w:ascii="Arial" w:hAnsi="Arial" w:cs="Arial"/>
          <w:b/>
          <w:sz w:val="24"/>
          <w:szCs w:val="24"/>
          <w:lang w:val="en-US"/>
        </w:rPr>
      </w:pPr>
      <w:r w:rsidRPr="0065408A">
        <w:rPr>
          <w:rFonts w:ascii="Arial" w:hAnsi="Arial" w:cs="Arial"/>
          <w:b/>
          <w:sz w:val="24"/>
          <w:szCs w:val="24"/>
          <w:lang w:val="en-US"/>
        </w:rPr>
        <w:t xml:space="preserve">Obesity </w:t>
      </w:r>
      <w:r w:rsidR="00730A43" w:rsidRPr="0065408A">
        <w:rPr>
          <w:rFonts w:ascii="Arial" w:hAnsi="Arial" w:cs="Arial"/>
          <w:b/>
          <w:sz w:val="24"/>
          <w:szCs w:val="24"/>
          <w:lang w:val="en-US"/>
        </w:rPr>
        <w:t>M</w:t>
      </w:r>
      <w:r w:rsidR="00321D7D" w:rsidRPr="0065408A">
        <w:rPr>
          <w:rFonts w:ascii="Arial" w:hAnsi="Arial" w:cs="Arial"/>
          <w:b/>
          <w:sz w:val="24"/>
          <w:szCs w:val="24"/>
          <w:lang w:val="en-US"/>
        </w:rPr>
        <w:t xml:space="preserve">easures and </w:t>
      </w:r>
      <w:r w:rsidRPr="0065408A">
        <w:rPr>
          <w:rFonts w:ascii="Arial" w:hAnsi="Arial" w:cs="Arial"/>
          <w:b/>
          <w:sz w:val="24"/>
          <w:szCs w:val="24"/>
          <w:lang w:val="en-US"/>
        </w:rPr>
        <w:t xml:space="preserve">Definitions </w:t>
      </w:r>
      <w:r w:rsidR="00321D7D" w:rsidRPr="0065408A">
        <w:rPr>
          <w:rFonts w:ascii="Arial" w:hAnsi="Arial" w:cs="Arial"/>
          <w:b/>
          <w:sz w:val="24"/>
          <w:szCs w:val="24"/>
          <w:lang w:val="en-US"/>
        </w:rPr>
        <w:t>o</w:t>
      </w:r>
      <w:r w:rsidRPr="0065408A">
        <w:rPr>
          <w:rFonts w:ascii="Arial" w:hAnsi="Arial" w:cs="Arial"/>
          <w:b/>
          <w:sz w:val="24"/>
          <w:szCs w:val="24"/>
          <w:lang w:val="en-US"/>
        </w:rPr>
        <w:t>f Sarcopenic Obesity in Singaporean Adults – the Yishun Study</w:t>
      </w:r>
      <w:r w:rsidR="00885C7D">
        <w:rPr>
          <w:rFonts w:ascii="Arial" w:hAnsi="Arial" w:cs="Arial"/>
          <w:b/>
          <w:sz w:val="24"/>
          <w:szCs w:val="24"/>
          <w:lang w:val="en-US"/>
        </w:rPr>
        <w:t xml:space="preserve"> (accepted </w:t>
      </w:r>
      <w:r w:rsidR="00312615">
        <w:rPr>
          <w:rFonts w:ascii="Arial" w:hAnsi="Arial" w:cs="Arial"/>
          <w:b/>
          <w:sz w:val="24"/>
          <w:szCs w:val="24"/>
          <w:lang w:val="en-US"/>
        </w:rPr>
        <w:t xml:space="preserve">after revision </w:t>
      </w:r>
      <w:r w:rsidR="00885C7D">
        <w:rPr>
          <w:rFonts w:ascii="Arial" w:hAnsi="Arial" w:cs="Arial"/>
          <w:b/>
          <w:sz w:val="24"/>
          <w:szCs w:val="24"/>
          <w:lang w:val="en-US"/>
        </w:rPr>
        <w:t>J Frailty &amp; Aging)</w:t>
      </w:r>
    </w:p>
    <w:p w14:paraId="1B5F196C" w14:textId="77777777" w:rsidR="00B5726D" w:rsidRPr="0065408A" w:rsidRDefault="00B5726D" w:rsidP="00B5726D">
      <w:pPr>
        <w:spacing w:after="0" w:line="240" w:lineRule="auto"/>
        <w:jc w:val="both"/>
        <w:rPr>
          <w:rFonts w:ascii="Arial" w:hAnsi="Arial" w:cs="Arial"/>
          <w:sz w:val="24"/>
          <w:szCs w:val="24"/>
          <w:lang w:val="en-US"/>
        </w:rPr>
      </w:pPr>
    </w:p>
    <w:p w14:paraId="2A5F0460" w14:textId="4E00B620" w:rsidR="00B5726D" w:rsidRPr="0065408A" w:rsidRDefault="00B5726D" w:rsidP="00830047">
      <w:pPr>
        <w:spacing w:after="0" w:line="240" w:lineRule="auto"/>
        <w:rPr>
          <w:rFonts w:ascii="Arial" w:hAnsi="Arial" w:cs="Arial"/>
          <w:sz w:val="24"/>
          <w:szCs w:val="24"/>
          <w:vertAlign w:val="superscript"/>
          <w:lang w:val="en-US"/>
        </w:rPr>
      </w:pPr>
      <w:r w:rsidRPr="0065408A">
        <w:rPr>
          <w:rFonts w:ascii="Arial" w:hAnsi="Arial" w:cs="Arial"/>
          <w:sz w:val="24"/>
          <w:szCs w:val="24"/>
          <w:lang w:val="en-US"/>
        </w:rPr>
        <w:t xml:space="preserve">*Benedict Wei Jun Pang, </w:t>
      </w:r>
      <w:proofErr w:type="spellStart"/>
      <w:r w:rsidRPr="0065408A">
        <w:rPr>
          <w:rFonts w:ascii="Arial" w:hAnsi="Arial" w:cs="Arial"/>
          <w:sz w:val="24"/>
          <w:szCs w:val="24"/>
          <w:lang w:val="en-US"/>
        </w:rPr>
        <w:t>BSc</w:t>
      </w:r>
      <w:r w:rsidRPr="0065408A">
        <w:rPr>
          <w:rFonts w:ascii="Arial" w:hAnsi="Arial" w:cs="Arial"/>
          <w:sz w:val="24"/>
          <w:szCs w:val="24"/>
          <w:vertAlign w:val="superscript"/>
          <w:lang w:val="en-US"/>
        </w:rPr>
        <w:t>a</w:t>
      </w:r>
      <w:proofErr w:type="spellEnd"/>
      <w:r w:rsidRPr="0065408A">
        <w:rPr>
          <w:rFonts w:ascii="Arial" w:hAnsi="Arial" w:cs="Arial"/>
          <w:sz w:val="24"/>
          <w:szCs w:val="24"/>
          <w:lang w:val="en-US"/>
        </w:rPr>
        <w:t>, *</w:t>
      </w:r>
      <w:proofErr w:type="spellStart"/>
      <w:r w:rsidRPr="0065408A">
        <w:rPr>
          <w:rFonts w:ascii="Arial" w:hAnsi="Arial" w:cs="Arial"/>
          <w:sz w:val="24"/>
          <w:szCs w:val="24"/>
          <w:lang w:val="en-US"/>
        </w:rPr>
        <w:t>Shiou</w:t>
      </w:r>
      <w:proofErr w:type="spellEnd"/>
      <w:r w:rsidRPr="0065408A">
        <w:rPr>
          <w:rFonts w:ascii="Arial" w:hAnsi="Arial" w:cs="Arial"/>
          <w:sz w:val="24"/>
          <w:szCs w:val="24"/>
          <w:lang w:val="en-US"/>
        </w:rPr>
        <w:t xml:space="preserve">-Liang Wee, </w:t>
      </w:r>
      <w:proofErr w:type="spellStart"/>
      <w:r w:rsidRPr="0065408A">
        <w:rPr>
          <w:rFonts w:ascii="Arial" w:hAnsi="Arial" w:cs="Arial"/>
          <w:sz w:val="24"/>
          <w:szCs w:val="24"/>
          <w:lang w:val="en-US"/>
        </w:rPr>
        <w:t>PhD</w:t>
      </w:r>
      <w:r w:rsidRPr="0065408A">
        <w:rPr>
          <w:rFonts w:ascii="Arial" w:hAnsi="Arial" w:cs="Arial"/>
          <w:sz w:val="24"/>
          <w:szCs w:val="24"/>
          <w:vertAlign w:val="superscript"/>
          <w:lang w:val="en-US"/>
        </w:rPr>
        <w:t>a,b</w:t>
      </w:r>
      <w:proofErr w:type="spellEnd"/>
      <w:r w:rsidRPr="0065408A">
        <w:rPr>
          <w:rFonts w:ascii="Arial" w:hAnsi="Arial" w:cs="Arial"/>
          <w:sz w:val="24"/>
          <w:szCs w:val="24"/>
          <w:lang w:val="en-US"/>
        </w:rPr>
        <w:t xml:space="preserve">, Lay </w:t>
      </w:r>
      <w:proofErr w:type="spellStart"/>
      <w:r w:rsidRPr="0065408A">
        <w:rPr>
          <w:rFonts w:ascii="Arial" w:hAnsi="Arial" w:cs="Arial"/>
          <w:sz w:val="24"/>
          <w:szCs w:val="24"/>
          <w:lang w:val="en-US"/>
        </w:rPr>
        <w:t>Khoon</w:t>
      </w:r>
      <w:proofErr w:type="spellEnd"/>
      <w:r w:rsidRPr="0065408A">
        <w:rPr>
          <w:rFonts w:ascii="Arial" w:hAnsi="Arial" w:cs="Arial"/>
          <w:sz w:val="24"/>
          <w:szCs w:val="24"/>
          <w:lang w:val="en-US"/>
        </w:rPr>
        <w:t xml:space="preserve"> Lau, </w:t>
      </w:r>
      <w:proofErr w:type="spellStart"/>
      <w:r w:rsidRPr="0065408A">
        <w:rPr>
          <w:rFonts w:ascii="Arial" w:hAnsi="Arial" w:cs="Arial"/>
          <w:sz w:val="24"/>
          <w:szCs w:val="24"/>
          <w:lang w:val="en-US"/>
        </w:rPr>
        <w:t>MSc</w:t>
      </w:r>
      <w:r w:rsidRPr="0065408A">
        <w:rPr>
          <w:rFonts w:ascii="Arial" w:hAnsi="Arial" w:cs="Arial"/>
          <w:sz w:val="24"/>
          <w:szCs w:val="24"/>
          <w:vertAlign w:val="superscript"/>
          <w:lang w:val="en-US"/>
        </w:rPr>
        <w:t>a</w:t>
      </w:r>
      <w:proofErr w:type="spellEnd"/>
      <w:r w:rsidRPr="0065408A">
        <w:rPr>
          <w:rFonts w:ascii="Arial" w:hAnsi="Arial" w:cs="Arial"/>
          <w:sz w:val="24"/>
          <w:szCs w:val="24"/>
          <w:lang w:val="en-US"/>
        </w:rPr>
        <w:t xml:space="preserve">, Khalid Abdul Jabbar, </w:t>
      </w:r>
      <w:proofErr w:type="spellStart"/>
      <w:r w:rsidRPr="0065408A">
        <w:rPr>
          <w:rFonts w:ascii="Arial" w:hAnsi="Arial" w:cs="Arial"/>
          <w:sz w:val="24"/>
          <w:szCs w:val="24"/>
          <w:lang w:val="en-US"/>
        </w:rPr>
        <w:t>MSc</w:t>
      </w:r>
      <w:r w:rsidRPr="0065408A">
        <w:rPr>
          <w:rFonts w:ascii="Arial" w:hAnsi="Arial" w:cs="Arial"/>
          <w:sz w:val="24"/>
          <w:szCs w:val="24"/>
          <w:vertAlign w:val="superscript"/>
          <w:lang w:val="en-US"/>
        </w:rPr>
        <w:t>a</w:t>
      </w:r>
      <w:proofErr w:type="spellEnd"/>
      <w:r w:rsidRPr="0065408A">
        <w:rPr>
          <w:rFonts w:ascii="Arial" w:hAnsi="Arial" w:cs="Arial"/>
          <w:sz w:val="24"/>
          <w:szCs w:val="24"/>
          <w:lang w:val="en-US"/>
        </w:rPr>
        <w:t xml:space="preserve">, Wei Ting </w:t>
      </w:r>
      <w:proofErr w:type="spellStart"/>
      <w:r w:rsidRPr="0065408A">
        <w:rPr>
          <w:rFonts w:ascii="Arial" w:hAnsi="Arial" w:cs="Arial"/>
          <w:sz w:val="24"/>
          <w:szCs w:val="24"/>
          <w:lang w:val="en-US"/>
        </w:rPr>
        <w:t>Seah</w:t>
      </w:r>
      <w:proofErr w:type="spellEnd"/>
      <w:r w:rsidRPr="0065408A">
        <w:rPr>
          <w:rFonts w:ascii="Arial" w:hAnsi="Arial" w:cs="Arial"/>
          <w:sz w:val="24"/>
          <w:szCs w:val="24"/>
          <w:lang w:val="en-US"/>
        </w:rPr>
        <w:t xml:space="preserve">, </w:t>
      </w:r>
      <w:proofErr w:type="spellStart"/>
      <w:r w:rsidR="00FF6F06" w:rsidRPr="0065408A">
        <w:rPr>
          <w:rFonts w:ascii="Arial" w:hAnsi="Arial" w:cs="Arial"/>
          <w:sz w:val="24"/>
          <w:szCs w:val="24"/>
          <w:lang w:val="en-US"/>
        </w:rPr>
        <w:t>MSc</w:t>
      </w:r>
      <w:r w:rsidR="00FF6F06" w:rsidRPr="0065408A">
        <w:rPr>
          <w:rFonts w:ascii="Arial" w:hAnsi="Arial" w:cs="Arial"/>
          <w:sz w:val="24"/>
          <w:szCs w:val="24"/>
          <w:vertAlign w:val="superscript"/>
          <w:lang w:val="en-US"/>
        </w:rPr>
        <w:t>a</w:t>
      </w:r>
      <w:proofErr w:type="spellEnd"/>
      <w:r w:rsidR="00FF6F06" w:rsidRPr="0065408A">
        <w:rPr>
          <w:rFonts w:ascii="Arial" w:hAnsi="Arial" w:cs="Arial"/>
          <w:sz w:val="24"/>
          <w:szCs w:val="24"/>
          <w:lang w:val="en-US"/>
        </w:rPr>
        <w:t xml:space="preserve">, </w:t>
      </w:r>
      <w:r w:rsidR="004606FD" w:rsidRPr="0065408A">
        <w:rPr>
          <w:rFonts w:ascii="Roboto" w:hAnsi="Roboto"/>
          <w:sz w:val="24"/>
          <w:szCs w:val="24"/>
          <w:lang w:val="en-US"/>
        </w:rPr>
        <w:t xml:space="preserve">Daniella Hui Min Ng, </w:t>
      </w:r>
      <w:proofErr w:type="spellStart"/>
      <w:r w:rsidR="004606FD" w:rsidRPr="0065408A">
        <w:rPr>
          <w:rFonts w:ascii="Roboto" w:hAnsi="Roboto"/>
          <w:sz w:val="24"/>
          <w:szCs w:val="24"/>
          <w:lang w:val="en-US"/>
        </w:rPr>
        <w:t>BSc</w:t>
      </w:r>
      <w:r w:rsidR="004606FD" w:rsidRPr="0065408A">
        <w:rPr>
          <w:rFonts w:ascii="Roboto" w:hAnsi="Roboto"/>
          <w:sz w:val="24"/>
          <w:szCs w:val="24"/>
          <w:vertAlign w:val="superscript"/>
          <w:lang w:val="en-US"/>
        </w:rPr>
        <w:t>a</w:t>
      </w:r>
      <w:proofErr w:type="spellEnd"/>
      <w:r w:rsidR="004606FD" w:rsidRPr="0065408A">
        <w:rPr>
          <w:rFonts w:ascii="Roboto" w:hAnsi="Roboto"/>
          <w:sz w:val="24"/>
          <w:szCs w:val="24"/>
          <w:lang w:val="en-US"/>
        </w:rPr>
        <w:t xml:space="preserve">, Queenie Lin Ling Tan, </w:t>
      </w:r>
      <w:proofErr w:type="spellStart"/>
      <w:r w:rsidR="004606FD" w:rsidRPr="0065408A">
        <w:rPr>
          <w:rFonts w:ascii="Roboto" w:hAnsi="Roboto"/>
          <w:sz w:val="24"/>
          <w:szCs w:val="24"/>
          <w:lang w:val="en-US"/>
        </w:rPr>
        <w:t>BSc</w:t>
      </w:r>
      <w:r w:rsidR="004606FD" w:rsidRPr="0065408A">
        <w:rPr>
          <w:rFonts w:ascii="Roboto" w:hAnsi="Roboto"/>
          <w:sz w:val="24"/>
          <w:szCs w:val="24"/>
          <w:vertAlign w:val="superscript"/>
          <w:lang w:val="en-US"/>
        </w:rPr>
        <w:t>a</w:t>
      </w:r>
      <w:proofErr w:type="spellEnd"/>
      <w:r w:rsidRPr="0065408A">
        <w:rPr>
          <w:rFonts w:ascii="Arial" w:hAnsi="Arial" w:cs="Arial"/>
          <w:sz w:val="24"/>
          <w:szCs w:val="24"/>
          <w:lang w:val="en-US"/>
        </w:rPr>
        <w:t>,</w:t>
      </w:r>
      <w:r w:rsidR="0064039B" w:rsidRPr="0065408A">
        <w:rPr>
          <w:rFonts w:ascii="Arial" w:hAnsi="Arial" w:cs="Arial"/>
          <w:sz w:val="24"/>
          <w:szCs w:val="24"/>
          <w:lang w:val="en-US"/>
        </w:rPr>
        <w:t xml:space="preserve"> </w:t>
      </w:r>
      <w:r w:rsidRPr="0065408A">
        <w:rPr>
          <w:rFonts w:ascii="Arial" w:hAnsi="Arial" w:cs="Arial"/>
          <w:sz w:val="24"/>
          <w:szCs w:val="24"/>
          <w:lang w:val="en-US"/>
        </w:rPr>
        <w:t xml:space="preserve">Kenneth </w:t>
      </w:r>
      <w:proofErr w:type="spellStart"/>
      <w:r w:rsidRPr="0065408A">
        <w:rPr>
          <w:rFonts w:ascii="Arial" w:hAnsi="Arial" w:cs="Arial"/>
          <w:sz w:val="24"/>
          <w:szCs w:val="24"/>
          <w:lang w:val="en-US"/>
        </w:rPr>
        <w:t>Kexun</w:t>
      </w:r>
      <w:proofErr w:type="spellEnd"/>
      <w:r w:rsidRPr="0065408A">
        <w:rPr>
          <w:rFonts w:ascii="Arial" w:hAnsi="Arial" w:cs="Arial"/>
          <w:sz w:val="24"/>
          <w:szCs w:val="24"/>
          <w:lang w:val="en-US"/>
        </w:rPr>
        <w:t xml:space="preserve"> Chen, </w:t>
      </w:r>
      <w:proofErr w:type="spellStart"/>
      <w:r w:rsidRPr="0065408A">
        <w:rPr>
          <w:rFonts w:ascii="Arial" w:hAnsi="Arial" w:cs="Arial"/>
          <w:sz w:val="24"/>
          <w:szCs w:val="24"/>
          <w:lang w:val="en-US"/>
        </w:rPr>
        <w:t>BSc</w:t>
      </w:r>
      <w:r w:rsidRPr="0065408A">
        <w:rPr>
          <w:rFonts w:ascii="Arial" w:hAnsi="Arial" w:cs="Arial"/>
          <w:sz w:val="24"/>
          <w:szCs w:val="24"/>
          <w:vertAlign w:val="superscript"/>
          <w:lang w:val="en-US"/>
        </w:rPr>
        <w:t>a</w:t>
      </w:r>
      <w:proofErr w:type="spellEnd"/>
      <w:r w:rsidRPr="0065408A">
        <w:rPr>
          <w:rFonts w:ascii="Arial" w:hAnsi="Arial" w:cs="Arial"/>
          <w:sz w:val="24"/>
          <w:szCs w:val="24"/>
          <w:lang w:val="en-US"/>
        </w:rPr>
        <w:t xml:space="preserve">, </w:t>
      </w:r>
      <w:proofErr w:type="spellStart"/>
      <w:r w:rsidRPr="0065408A">
        <w:rPr>
          <w:rFonts w:ascii="Arial" w:hAnsi="Arial" w:cs="Arial"/>
          <w:sz w:val="24"/>
          <w:szCs w:val="24"/>
          <w:lang w:val="en-US"/>
        </w:rPr>
        <w:t>Mallya</w:t>
      </w:r>
      <w:proofErr w:type="spellEnd"/>
      <w:r w:rsidRPr="0065408A">
        <w:rPr>
          <w:rFonts w:ascii="Arial" w:hAnsi="Arial" w:cs="Arial"/>
          <w:sz w:val="24"/>
          <w:szCs w:val="24"/>
          <w:lang w:val="en-US"/>
        </w:rPr>
        <w:t xml:space="preserve"> </w:t>
      </w:r>
      <w:proofErr w:type="spellStart"/>
      <w:r w:rsidRPr="0065408A">
        <w:rPr>
          <w:rFonts w:ascii="Arial" w:hAnsi="Arial" w:cs="Arial"/>
          <w:sz w:val="24"/>
          <w:szCs w:val="24"/>
          <w:lang w:val="en-US"/>
        </w:rPr>
        <w:t>Ullal</w:t>
      </w:r>
      <w:proofErr w:type="spellEnd"/>
      <w:r w:rsidRPr="0065408A">
        <w:rPr>
          <w:rFonts w:ascii="Arial" w:hAnsi="Arial" w:cs="Arial"/>
          <w:sz w:val="24"/>
          <w:szCs w:val="24"/>
          <w:lang w:val="en-US"/>
        </w:rPr>
        <w:t xml:space="preserve"> Jagadish, MBBS, MRCP, </w:t>
      </w:r>
      <w:proofErr w:type="spellStart"/>
      <w:r w:rsidRPr="0065408A">
        <w:rPr>
          <w:rFonts w:ascii="Arial" w:hAnsi="Arial" w:cs="Arial"/>
          <w:sz w:val="24"/>
          <w:szCs w:val="24"/>
          <w:lang w:val="en-US"/>
        </w:rPr>
        <w:t>FRCP</w:t>
      </w:r>
      <w:r w:rsidRPr="0065408A">
        <w:rPr>
          <w:rFonts w:ascii="Arial" w:hAnsi="Arial" w:cs="Arial"/>
          <w:sz w:val="24"/>
          <w:szCs w:val="24"/>
          <w:vertAlign w:val="superscript"/>
          <w:lang w:val="en-US"/>
        </w:rPr>
        <w:t>a,c</w:t>
      </w:r>
      <w:proofErr w:type="spellEnd"/>
      <w:r w:rsidRPr="0065408A">
        <w:rPr>
          <w:rFonts w:ascii="Arial" w:hAnsi="Arial" w:cs="Arial"/>
          <w:sz w:val="24"/>
          <w:szCs w:val="24"/>
          <w:lang w:val="en-US"/>
        </w:rPr>
        <w:t xml:space="preserve">, </w:t>
      </w:r>
      <w:proofErr w:type="spellStart"/>
      <w:r w:rsidRPr="0065408A">
        <w:rPr>
          <w:rFonts w:ascii="Arial" w:hAnsi="Arial" w:cs="Arial"/>
          <w:sz w:val="24"/>
          <w:szCs w:val="24"/>
          <w:lang w:val="en-US"/>
        </w:rPr>
        <w:t>Tze</w:t>
      </w:r>
      <w:proofErr w:type="spellEnd"/>
      <w:r w:rsidRPr="0065408A">
        <w:rPr>
          <w:rFonts w:ascii="Arial" w:hAnsi="Arial" w:cs="Arial"/>
          <w:sz w:val="24"/>
          <w:szCs w:val="24"/>
          <w:lang w:val="en-US"/>
        </w:rPr>
        <w:t xml:space="preserve"> Pin Ng, </w:t>
      </w:r>
      <w:proofErr w:type="spellStart"/>
      <w:r w:rsidRPr="0065408A">
        <w:rPr>
          <w:rFonts w:ascii="Arial" w:hAnsi="Arial" w:cs="Arial"/>
          <w:sz w:val="24"/>
          <w:szCs w:val="24"/>
          <w:lang w:val="en-US"/>
        </w:rPr>
        <w:t>MD</w:t>
      </w:r>
      <w:r w:rsidRPr="0065408A">
        <w:rPr>
          <w:rFonts w:ascii="Arial" w:hAnsi="Arial" w:cs="Arial"/>
          <w:sz w:val="24"/>
          <w:szCs w:val="24"/>
          <w:vertAlign w:val="superscript"/>
          <w:lang w:val="en-US"/>
        </w:rPr>
        <w:t>a,d</w:t>
      </w:r>
      <w:proofErr w:type="spellEnd"/>
    </w:p>
    <w:p w14:paraId="1A379CF0" w14:textId="77777777" w:rsidR="00B5726D" w:rsidRPr="0065408A" w:rsidRDefault="00B5726D" w:rsidP="00830047">
      <w:pPr>
        <w:spacing w:after="0" w:line="240" w:lineRule="auto"/>
        <w:rPr>
          <w:rFonts w:ascii="Arial" w:hAnsi="Arial" w:cs="Arial"/>
          <w:i/>
          <w:iCs/>
          <w:sz w:val="24"/>
          <w:szCs w:val="24"/>
          <w:vertAlign w:val="superscript"/>
          <w:lang w:val="en-US"/>
        </w:rPr>
      </w:pPr>
    </w:p>
    <w:p w14:paraId="628C504B" w14:textId="77777777" w:rsidR="00B5726D" w:rsidRPr="0065408A" w:rsidRDefault="00B5726D" w:rsidP="00830047">
      <w:pPr>
        <w:spacing w:after="0" w:line="240" w:lineRule="auto"/>
        <w:rPr>
          <w:rFonts w:ascii="Arial" w:hAnsi="Arial" w:cs="Arial"/>
          <w:i/>
          <w:iCs/>
          <w:sz w:val="24"/>
          <w:szCs w:val="24"/>
          <w:lang w:val="en-US"/>
        </w:rPr>
      </w:pPr>
      <w:proofErr w:type="spellStart"/>
      <w:r w:rsidRPr="0065408A">
        <w:rPr>
          <w:rFonts w:ascii="Arial" w:hAnsi="Arial" w:cs="Arial"/>
          <w:i/>
          <w:iCs/>
          <w:sz w:val="24"/>
          <w:szCs w:val="24"/>
          <w:vertAlign w:val="superscript"/>
          <w:lang w:val="en-US"/>
        </w:rPr>
        <w:t>a</w:t>
      </w:r>
      <w:r w:rsidRPr="0065408A">
        <w:rPr>
          <w:rFonts w:ascii="Arial" w:hAnsi="Arial" w:cs="Arial"/>
          <w:i/>
          <w:iCs/>
          <w:sz w:val="24"/>
          <w:szCs w:val="24"/>
          <w:lang w:val="en-US"/>
        </w:rPr>
        <w:t>Geriatric</w:t>
      </w:r>
      <w:proofErr w:type="spellEnd"/>
      <w:r w:rsidRPr="0065408A">
        <w:rPr>
          <w:rFonts w:ascii="Arial" w:hAnsi="Arial" w:cs="Arial"/>
          <w:i/>
          <w:iCs/>
          <w:sz w:val="24"/>
          <w:szCs w:val="24"/>
          <w:lang w:val="en-US"/>
        </w:rPr>
        <w:t xml:space="preserve"> Education and Research Institute (GERI), Singapore</w:t>
      </w:r>
    </w:p>
    <w:p w14:paraId="3BF1346C" w14:textId="77777777" w:rsidR="00B5726D" w:rsidRPr="0065408A" w:rsidRDefault="00B5726D" w:rsidP="00830047">
      <w:pPr>
        <w:spacing w:after="0" w:line="240" w:lineRule="auto"/>
        <w:rPr>
          <w:rFonts w:ascii="Arial" w:hAnsi="Arial" w:cs="Arial"/>
          <w:i/>
          <w:iCs/>
          <w:sz w:val="24"/>
          <w:szCs w:val="24"/>
          <w:lang w:val="en-US"/>
        </w:rPr>
      </w:pPr>
      <w:proofErr w:type="spellStart"/>
      <w:r w:rsidRPr="0065408A">
        <w:rPr>
          <w:rFonts w:ascii="Arial" w:hAnsi="Arial" w:cs="Arial"/>
          <w:i/>
          <w:iCs/>
          <w:sz w:val="24"/>
          <w:szCs w:val="24"/>
          <w:vertAlign w:val="superscript"/>
          <w:lang w:val="en-US"/>
        </w:rPr>
        <w:t>b</w:t>
      </w:r>
      <w:r w:rsidRPr="0065408A">
        <w:rPr>
          <w:rFonts w:ascii="Arial" w:hAnsi="Arial" w:cs="Arial"/>
          <w:i/>
          <w:iCs/>
          <w:sz w:val="24"/>
          <w:szCs w:val="24"/>
          <w:lang w:val="en-US"/>
        </w:rPr>
        <w:t>Faculty</w:t>
      </w:r>
      <w:proofErr w:type="spellEnd"/>
      <w:r w:rsidRPr="0065408A">
        <w:rPr>
          <w:rFonts w:ascii="Arial" w:hAnsi="Arial" w:cs="Arial"/>
          <w:i/>
          <w:iCs/>
          <w:sz w:val="24"/>
          <w:szCs w:val="24"/>
          <w:lang w:val="en-US"/>
        </w:rPr>
        <w:t xml:space="preserve"> of Health and Social Sciences, Singapore Institute of Technology, Singapore</w:t>
      </w:r>
    </w:p>
    <w:p w14:paraId="2F74F1A5" w14:textId="77777777" w:rsidR="00B5726D" w:rsidRPr="0065408A" w:rsidRDefault="00B5726D" w:rsidP="00830047">
      <w:pPr>
        <w:spacing w:after="0" w:line="240" w:lineRule="auto"/>
        <w:rPr>
          <w:rFonts w:ascii="Arial" w:hAnsi="Arial" w:cs="Arial"/>
          <w:i/>
          <w:iCs/>
          <w:sz w:val="24"/>
          <w:szCs w:val="24"/>
          <w:lang w:val="en-US"/>
        </w:rPr>
      </w:pPr>
      <w:r w:rsidRPr="0065408A">
        <w:rPr>
          <w:rFonts w:ascii="Arial" w:hAnsi="Arial" w:cs="Arial"/>
          <w:i/>
          <w:iCs/>
          <w:sz w:val="24"/>
          <w:szCs w:val="24"/>
          <w:vertAlign w:val="superscript"/>
          <w:lang w:val="en-US"/>
        </w:rPr>
        <w:t xml:space="preserve"> </w:t>
      </w:r>
      <w:proofErr w:type="spellStart"/>
      <w:r w:rsidRPr="0065408A">
        <w:rPr>
          <w:rFonts w:ascii="Arial" w:hAnsi="Arial" w:cs="Arial"/>
          <w:i/>
          <w:iCs/>
          <w:sz w:val="24"/>
          <w:szCs w:val="24"/>
          <w:vertAlign w:val="superscript"/>
          <w:lang w:val="en-US"/>
        </w:rPr>
        <w:t>c</w:t>
      </w:r>
      <w:r w:rsidRPr="0065408A">
        <w:rPr>
          <w:rFonts w:ascii="Arial" w:hAnsi="Arial" w:cs="Arial"/>
          <w:i/>
          <w:iCs/>
          <w:sz w:val="24"/>
          <w:szCs w:val="24"/>
          <w:lang w:val="en-US"/>
        </w:rPr>
        <w:t>Geriatric</w:t>
      </w:r>
      <w:proofErr w:type="spellEnd"/>
      <w:r w:rsidRPr="0065408A">
        <w:rPr>
          <w:rFonts w:ascii="Arial" w:hAnsi="Arial" w:cs="Arial"/>
          <w:i/>
          <w:iCs/>
          <w:sz w:val="24"/>
          <w:szCs w:val="24"/>
          <w:lang w:val="en-US"/>
        </w:rPr>
        <w:t xml:space="preserve"> Medicine, Khoo Teck </w:t>
      </w:r>
      <w:proofErr w:type="spellStart"/>
      <w:r w:rsidRPr="0065408A">
        <w:rPr>
          <w:rFonts w:ascii="Arial" w:hAnsi="Arial" w:cs="Arial"/>
          <w:i/>
          <w:iCs/>
          <w:sz w:val="24"/>
          <w:szCs w:val="24"/>
          <w:lang w:val="en-US"/>
        </w:rPr>
        <w:t>Puat</w:t>
      </w:r>
      <w:proofErr w:type="spellEnd"/>
      <w:r w:rsidRPr="0065408A">
        <w:rPr>
          <w:rFonts w:ascii="Arial" w:hAnsi="Arial" w:cs="Arial"/>
          <w:i/>
          <w:iCs/>
          <w:sz w:val="24"/>
          <w:szCs w:val="24"/>
          <w:lang w:val="en-US"/>
        </w:rPr>
        <w:t xml:space="preserve"> Hospital, Singapore</w:t>
      </w:r>
    </w:p>
    <w:p w14:paraId="34671BB0" w14:textId="77777777" w:rsidR="00B5726D" w:rsidRPr="0065408A" w:rsidRDefault="00B5726D" w:rsidP="00830047">
      <w:pPr>
        <w:spacing w:after="0" w:line="240" w:lineRule="auto"/>
        <w:rPr>
          <w:rFonts w:ascii="Arial" w:hAnsi="Arial" w:cs="Arial"/>
          <w:i/>
          <w:iCs/>
          <w:sz w:val="24"/>
          <w:szCs w:val="24"/>
          <w:lang w:val="en-US"/>
        </w:rPr>
      </w:pPr>
      <w:proofErr w:type="spellStart"/>
      <w:r w:rsidRPr="0065408A">
        <w:rPr>
          <w:rFonts w:ascii="Arial" w:hAnsi="Arial" w:cs="Arial"/>
          <w:i/>
          <w:iCs/>
          <w:sz w:val="24"/>
          <w:szCs w:val="24"/>
          <w:vertAlign w:val="superscript"/>
          <w:lang w:val="en-US"/>
        </w:rPr>
        <w:t>d</w:t>
      </w:r>
      <w:r w:rsidRPr="0065408A">
        <w:rPr>
          <w:rFonts w:ascii="Arial" w:hAnsi="Arial" w:cs="Arial"/>
          <w:i/>
          <w:iCs/>
          <w:sz w:val="24"/>
          <w:szCs w:val="24"/>
          <w:lang w:val="en-US"/>
        </w:rPr>
        <w:t>Department</w:t>
      </w:r>
      <w:proofErr w:type="spellEnd"/>
      <w:r w:rsidRPr="0065408A">
        <w:rPr>
          <w:rFonts w:ascii="Arial" w:hAnsi="Arial" w:cs="Arial"/>
          <w:i/>
          <w:iCs/>
          <w:sz w:val="24"/>
          <w:szCs w:val="24"/>
          <w:lang w:val="en-US"/>
        </w:rPr>
        <w:t xml:space="preserve"> of Psychological Medicine, National University of Singapore, Singapore</w:t>
      </w:r>
    </w:p>
    <w:p w14:paraId="729DF31F" w14:textId="77777777" w:rsidR="00B5726D" w:rsidRPr="0065408A" w:rsidRDefault="00B5726D" w:rsidP="00830047">
      <w:pPr>
        <w:spacing w:after="0" w:line="240" w:lineRule="auto"/>
        <w:rPr>
          <w:rFonts w:ascii="Arial" w:hAnsi="Arial" w:cs="Arial"/>
          <w:sz w:val="24"/>
          <w:szCs w:val="24"/>
          <w:lang w:val="en-US"/>
        </w:rPr>
      </w:pPr>
    </w:p>
    <w:p w14:paraId="3084D157" w14:textId="77777777" w:rsidR="00B5726D" w:rsidRPr="0065408A" w:rsidRDefault="00B5726D" w:rsidP="00830047">
      <w:pPr>
        <w:spacing w:after="0" w:line="240" w:lineRule="auto"/>
        <w:rPr>
          <w:rFonts w:ascii="Arial" w:hAnsi="Arial" w:cs="Arial"/>
          <w:i/>
          <w:iCs/>
          <w:sz w:val="24"/>
          <w:szCs w:val="24"/>
          <w:lang w:val="en-US"/>
        </w:rPr>
      </w:pPr>
      <w:r w:rsidRPr="0065408A">
        <w:rPr>
          <w:rFonts w:ascii="Arial" w:hAnsi="Arial" w:cs="Arial"/>
          <w:i/>
          <w:iCs/>
          <w:sz w:val="24"/>
          <w:szCs w:val="24"/>
          <w:lang w:val="en-US"/>
        </w:rPr>
        <w:t xml:space="preserve">*Correspondence to: </w:t>
      </w:r>
      <w:proofErr w:type="spellStart"/>
      <w:r w:rsidRPr="0065408A">
        <w:rPr>
          <w:rFonts w:ascii="Arial" w:hAnsi="Arial" w:cs="Arial"/>
          <w:i/>
          <w:iCs/>
          <w:sz w:val="24"/>
          <w:szCs w:val="24"/>
          <w:lang w:val="en-US"/>
        </w:rPr>
        <w:t>Shiou</w:t>
      </w:r>
      <w:proofErr w:type="spellEnd"/>
      <w:r w:rsidRPr="0065408A">
        <w:rPr>
          <w:rFonts w:ascii="Arial" w:hAnsi="Arial" w:cs="Arial"/>
          <w:i/>
          <w:iCs/>
          <w:sz w:val="24"/>
          <w:szCs w:val="24"/>
          <w:lang w:val="en-US"/>
        </w:rPr>
        <w:t>-Liang Wee, Geriatric Education and Research Institute (GERI), 2 Yishun Central 2, Tower E Level 4 GERI Admin, 768024, Singapore, Phone: +65 6807 8011</w:t>
      </w:r>
    </w:p>
    <w:p w14:paraId="725FD1CA" w14:textId="77777777" w:rsidR="00B5726D" w:rsidRPr="0065408A" w:rsidRDefault="00B5726D" w:rsidP="00830047">
      <w:pPr>
        <w:spacing w:after="0" w:line="240" w:lineRule="auto"/>
        <w:rPr>
          <w:rFonts w:ascii="Arial" w:hAnsi="Arial" w:cs="Arial"/>
          <w:i/>
          <w:iCs/>
          <w:sz w:val="24"/>
          <w:szCs w:val="24"/>
          <w:lang w:val="en-US"/>
        </w:rPr>
      </w:pPr>
      <w:r w:rsidRPr="0065408A">
        <w:rPr>
          <w:rFonts w:ascii="Arial" w:hAnsi="Arial" w:cs="Arial"/>
          <w:i/>
          <w:iCs/>
          <w:sz w:val="24"/>
          <w:szCs w:val="24"/>
          <w:lang w:val="en-US"/>
        </w:rPr>
        <w:t xml:space="preserve">**Benedict Wei Jun Pang, Geriatric Education and Research Institute (GERI), 2 Yishun Central 2, Tower E Level 4 GERI Admin, 768024, Singapore, Phone: +65 6807 8030 </w:t>
      </w:r>
    </w:p>
    <w:p w14:paraId="610034C2" w14:textId="77777777" w:rsidR="00B5726D" w:rsidRPr="0065408A" w:rsidRDefault="00B5726D" w:rsidP="00830047">
      <w:pPr>
        <w:spacing w:after="0" w:line="240" w:lineRule="auto"/>
        <w:rPr>
          <w:rFonts w:ascii="Arial" w:hAnsi="Arial" w:cs="Arial"/>
          <w:i/>
          <w:iCs/>
          <w:sz w:val="24"/>
          <w:szCs w:val="24"/>
          <w:lang w:val="en-US"/>
        </w:rPr>
      </w:pPr>
    </w:p>
    <w:p w14:paraId="5FF4D269" w14:textId="77777777" w:rsidR="00B5726D" w:rsidRPr="0065408A" w:rsidRDefault="00B5726D" w:rsidP="00830047">
      <w:pPr>
        <w:spacing w:after="0" w:line="240" w:lineRule="auto"/>
        <w:rPr>
          <w:rFonts w:ascii="Arial" w:hAnsi="Arial" w:cs="Arial"/>
          <w:i/>
          <w:iCs/>
          <w:sz w:val="24"/>
          <w:szCs w:val="24"/>
          <w:lang w:val="en-US"/>
        </w:rPr>
      </w:pPr>
      <w:r w:rsidRPr="0065408A">
        <w:rPr>
          <w:rFonts w:ascii="Arial" w:hAnsi="Arial" w:cs="Arial"/>
          <w:i/>
          <w:iCs/>
          <w:sz w:val="24"/>
          <w:szCs w:val="24"/>
          <w:lang w:val="en-US"/>
        </w:rPr>
        <w:t xml:space="preserve">Email: </w:t>
      </w:r>
      <w:hyperlink r:id="rId8" w:history="1">
        <w:r w:rsidRPr="0065408A">
          <w:rPr>
            <w:rStyle w:val="Hyperlink"/>
            <w:rFonts w:ascii="Arial" w:hAnsi="Arial" w:cs="Arial"/>
            <w:i/>
            <w:iCs/>
            <w:sz w:val="24"/>
            <w:szCs w:val="24"/>
            <w:lang w:val="en-US"/>
          </w:rPr>
          <w:t>weeshiouliang@gmail.com</w:t>
        </w:r>
      </w:hyperlink>
      <w:r w:rsidRPr="0065408A">
        <w:rPr>
          <w:rFonts w:ascii="Arial" w:hAnsi="Arial" w:cs="Arial"/>
          <w:i/>
          <w:iCs/>
          <w:sz w:val="24"/>
          <w:szCs w:val="24"/>
          <w:lang w:val="en-US"/>
        </w:rPr>
        <w:t xml:space="preserve"> (S.-L. Wee), </w:t>
      </w:r>
      <w:hyperlink r:id="rId9" w:history="1">
        <w:r w:rsidRPr="0065408A">
          <w:rPr>
            <w:rStyle w:val="Hyperlink"/>
            <w:rFonts w:ascii="Arial" w:hAnsi="Arial" w:cs="Arial"/>
            <w:i/>
            <w:iCs/>
            <w:sz w:val="24"/>
            <w:szCs w:val="24"/>
            <w:lang w:val="en-US"/>
          </w:rPr>
          <w:t>L3enanapang@gmail.com</w:t>
        </w:r>
      </w:hyperlink>
      <w:r w:rsidRPr="0065408A">
        <w:rPr>
          <w:rFonts w:ascii="Arial" w:hAnsi="Arial" w:cs="Arial"/>
          <w:i/>
          <w:iCs/>
          <w:sz w:val="24"/>
          <w:szCs w:val="24"/>
          <w:lang w:val="en-US"/>
        </w:rPr>
        <w:t xml:space="preserve"> (B.W.J. Pang)</w:t>
      </w:r>
    </w:p>
    <w:p w14:paraId="4E39017A" w14:textId="569BA387" w:rsidR="00B5726D" w:rsidRPr="0065408A" w:rsidRDefault="00B5726D" w:rsidP="00830047">
      <w:pPr>
        <w:spacing w:after="0" w:line="240" w:lineRule="auto"/>
        <w:rPr>
          <w:rFonts w:ascii="Arial" w:hAnsi="Arial" w:cs="Arial"/>
          <w:sz w:val="24"/>
          <w:szCs w:val="24"/>
          <w:lang w:val="en-US"/>
        </w:rPr>
      </w:pPr>
    </w:p>
    <w:p w14:paraId="301C1F8C" w14:textId="77777777" w:rsidR="006954FC" w:rsidRPr="0065408A" w:rsidRDefault="006954FC" w:rsidP="00830047">
      <w:pPr>
        <w:spacing w:after="0" w:line="240" w:lineRule="auto"/>
        <w:rPr>
          <w:rFonts w:ascii="Arial" w:hAnsi="Arial" w:cs="Arial"/>
          <w:sz w:val="24"/>
          <w:szCs w:val="24"/>
          <w:lang w:val="en-US"/>
        </w:rPr>
      </w:pPr>
      <w:r w:rsidRPr="0065408A">
        <w:rPr>
          <w:rFonts w:ascii="Arial" w:hAnsi="Arial" w:cs="Arial"/>
          <w:sz w:val="24"/>
          <w:szCs w:val="24"/>
          <w:lang w:val="en-US"/>
        </w:rPr>
        <w:t>The authors declare no conflict of interest.</w:t>
      </w:r>
    </w:p>
    <w:p w14:paraId="24825AFB" w14:textId="77777777" w:rsidR="006954FC" w:rsidRPr="0065408A" w:rsidRDefault="006954FC" w:rsidP="00830047">
      <w:pPr>
        <w:spacing w:after="0" w:line="240" w:lineRule="auto"/>
        <w:rPr>
          <w:rFonts w:ascii="Arial" w:hAnsi="Arial" w:cs="Arial"/>
          <w:sz w:val="24"/>
          <w:szCs w:val="24"/>
          <w:lang w:val="en-US"/>
        </w:rPr>
      </w:pPr>
    </w:p>
    <w:p w14:paraId="2BDD52C7" w14:textId="41F30E8F" w:rsidR="00730A43" w:rsidRPr="0065408A" w:rsidRDefault="00730A43" w:rsidP="00830047">
      <w:pPr>
        <w:spacing w:after="0" w:line="240" w:lineRule="auto"/>
        <w:rPr>
          <w:rFonts w:ascii="Arial" w:eastAsiaTheme="majorEastAsia" w:hAnsi="Arial" w:cs="Arial"/>
          <w:iCs/>
          <w:sz w:val="24"/>
          <w:szCs w:val="24"/>
          <w:lang w:val="en-US"/>
        </w:rPr>
      </w:pPr>
      <w:r w:rsidRPr="0065408A">
        <w:rPr>
          <w:rFonts w:ascii="Arial" w:eastAsiaTheme="majorEastAsia" w:hAnsi="Arial" w:cs="Arial"/>
          <w:iCs/>
          <w:sz w:val="24"/>
          <w:szCs w:val="24"/>
          <w:lang w:val="en-US"/>
        </w:rPr>
        <w:t xml:space="preserve">This research was supported as part of a core funding from the Ministry of Health of Singapore to GERI. </w:t>
      </w:r>
    </w:p>
    <w:p w14:paraId="1C47E098" w14:textId="0C7FDAB3" w:rsidR="00730A43" w:rsidRPr="0065408A" w:rsidRDefault="00730A43" w:rsidP="00830047">
      <w:pPr>
        <w:spacing w:after="0" w:line="240" w:lineRule="auto"/>
        <w:rPr>
          <w:rFonts w:ascii="Arial" w:eastAsiaTheme="majorEastAsia" w:hAnsi="Arial" w:cs="Arial"/>
          <w:iCs/>
          <w:sz w:val="24"/>
          <w:szCs w:val="24"/>
          <w:lang w:val="en-US"/>
        </w:rPr>
      </w:pPr>
    </w:p>
    <w:p w14:paraId="1FF5B057" w14:textId="2EDFEB33" w:rsidR="00730A43" w:rsidRPr="0065408A" w:rsidRDefault="00730A43" w:rsidP="00830047">
      <w:pPr>
        <w:spacing w:after="0" w:line="240" w:lineRule="auto"/>
        <w:rPr>
          <w:rFonts w:ascii="Arial" w:eastAsiaTheme="majorEastAsia" w:hAnsi="Arial" w:cs="Arial"/>
          <w:iCs/>
          <w:sz w:val="24"/>
          <w:szCs w:val="24"/>
          <w:lang w:val="en-US"/>
        </w:rPr>
      </w:pPr>
      <w:r w:rsidRPr="0065408A">
        <w:rPr>
          <w:rFonts w:ascii="Arial" w:eastAsiaTheme="majorEastAsia" w:hAnsi="Arial" w:cs="Arial"/>
          <w:b/>
          <w:bCs/>
          <w:iCs/>
          <w:sz w:val="24"/>
          <w:szCs w:val="24"/>
          <w:lang w:val="en-US"/>
        </w:rPr>
        <w:t xml:space="preserve">Running </w:t>
      </w:r>
      <w:r w:rsidR="002E073B" w:rsidRPr="0065408A">
        <w:rPr>
          <w:rFonts w:ascii="Arial" w:eastAsiaTheme="majorEastAsia" w:hAnsi="Arial" w:cs="Arial"/>
          <w:b/>
          <w:bCs/>
          <w:iCs/>
          <w:sz w:val="24"/>
          <w:szCs w:val="24"/>
          <w:lang w:val="en-US"/>
        </w:rPr>
        <w:t>Head</w:t>
      </w:r>
      <w:r w:rsidRPr="0065408A">
        <w:rPr>
          <w:rFonts w:ascii="Arial" w:eastAsiaTheme="majorEastAsia" w:hAnsi="Arial" w:cs="Arial"/>
          <w:b/>
          <w:bCs/>
          <w:iCs/>
          <w:sz w:val="24"/>
          <w:szCs w:val="24"/>
          <w:lang w:val="en-US"/>
        </w:rPr>
        <w:t xml:space="preserve">: </w:t>
      </w:r>
      <w:r w:rsidRPr="0065408A">
        <w:rPr>
          <w:rFonts w:ascii="Arial" w:eastAsiaTheme="majorEastAsia" w:hAnsi="Arial" w:cs="Arial"/>
          <w:iCs/>
          <w:sz w:val="24"/>
          <w:szCs w:val="24"/>
          <w:lang w:val="en-US"/>
        </w:rPr>
        <w:t>Sarcopenic Obesity and</w:t>
      </w:r>
      <w:r w:rsidR="002E073B" w:rsidRPr="0065408A">
        <w:rPr>
          <w:rFonts w:ascii="Arial" w:eastAsiaTheme="majorEastAsia" w:hAnsi="Arial" w:cs="Arial"/>
          <w:iCs/>
          <w:sz w:val="24"/>
          <w:szCs w:val="24"/>
          <w:lang w:val="en-US"/>
        </w:rPr>
        <w:t xml:space="preserve"> Obesity</w:t>
      </w:r>
      <w:r w:rsidRPr="0065408A">
        <w:rPr>
          <w:rFonts w:ascii="Arial" w:eastAsiaTheme="majorEastAsia" w:hAnsi="Arial" w:cs="Arial"/>
          <w:iCs/>
          <w:sz w:val="24"/>
          <w:szCs w:val="24"/>
          <w:lang w:val="en-US"/>
        </w:rPr>
        <w:t xml:space="preserve"> </w:t>
      </w:r>
      <w:r w:rsidR="002E073B" w:rsidRPr="0065408A">
        <w:rPr>
          <w:rFonts w:ascii="Arial" w:eastAsiaTheme="majorEastAsia" w:hAnsi="Arial" w:cs="Arial"/>
          <w:iCs/>
          <w:sz w:val="24"/>
          <w:szCs w:val="24"/>
          <w:lang w:val="en-US"/>
        </w:rPr>
        <w:t>Definitions</w:t>
      </w:r>
    </w:p>
    <w:p w14:paraId="7BFA7E68" w14:textId="5F4EBFEB" w:rsidR="00B5726D" w:rsidRPr="0065408A" w:rsidRDefault="00B5726D" w:rsidP="00830047">
      <w:pPr>
        <w:spacing w:after="0" w:line="240" w:lineRule="auto"/>
        <w:rPr>
          <w:rFonts w:ascii="Arial" w:hAnsi="Arial" w:cs="Arial"/>
          <w:sz w:val="24"/>
          <w:szCs w:val="24"/>
          <w:lang w:val="en-US"/>
        </w:rPr>
      </w:pPr>
    </w:p>
    <w:p w14:paraId="3782FE96" w14:textId="338D4A5B" w:rsidR="002E073B" w:rsidRPr="0065408A" w:rsidRDefault="002E073B" w:rsidP="00830047">
      <w:pPr>
        <w:rPr>
          <w:rFonts w:ascii="Arial" w:hAnsi="Arial" w:cs="Arial"/>
          <w:sz w:val="24"/>
          <w:szCs w:val="24"/>
          <w:lang w:val="en-US"/>
        </w:rPr>
      </w:pPr>
      <w:r w:rsidRPr="0065408A">
        <w:rPr>
          <w:rFonts w:ascii="Arial" w:hAnsi="Arial" w:cs="Arial"/>
          <w:b/>
          <w:bCs/>
          <w:sz w:val="24"/>
          <w:szCs w:val="24"/>
          <w:lang w:val="en-US"/>
        </w:rPr>
        <w:t xml:space="preserve">Abbreviation List: </w:t>
      </w:r>
      <w:r w:rsidR="007537E5" w:rsidRPr="0065408A">
        <w:rPr>
          <w:rStyle w:val="selectable"/>
          <w:rFonts w:ascii="Arial" w:hAnsi="Arial" w:cs="Arial"/>
          <w:sz w:val="24"/>
          <w:szCs w:val="24"/>
          <w:lang w:val="en-US"/>
        </w:rPr>
        <w:t xml:space="preserve">ALMI: Appendicular Lean Mass Index; </w:t>
      </w:r>
      <w:r w:rsidR="007537E5" w:rsidRPr="0065408A">
        <w:rPr>
          <w:rFonts w:ascii="Arial" w:hAnsi="Arial" w:cs="Arial"/>
          <w:sz w:val="24"/>
          <w:szCs w:val="24"/>
          <w:lang w:val="en-US"/>
        </w:rPr>
        <w:t xml:space="preserve">AWGS: Asian Working Group for Sarcopenia; FM/FFM: Fat Mass to Fat-Free Mass ratio; FMI: Fat Mass Index; GPAQ: Global Physical Activity Questionnaire; </w:t>
      </w:r>
      <w:r w:rsidR="007537E5" w:rsidRPr="0065408A">
        <w:rPr>
          <w:rStyle w:val="selectable"/>
          <w:rFonts w:ascii="Arial" w:hAnsi="Arial" w:cs="Arial"/>
          <w:sz w:val="24"/>
          <w:szCs w:val="24"/>
          <w:lang w:val="en-US"/>
        </w:rPr>
        <w:t xml:space="preserve">GS: Gait Speed; HGS: Handgrip Strength; KES: Knee Extensor Strength; </w:t>
      </w:r>
      <w:r w:rsidR="007537E5" w:rsidRPr="0065408A">
        <w:rPr>
          <w:rFonts w:ascii="Arial" w:hAnsi="Arial" w:cs="Arial"/>
          <w:sz w:val="24"/>
          <w:szCs w:val="24"/>
          <w:lang w:val="en-US"/>
        </w:rPr>
        <w:t xml:space="preserve">LASA: Longitudinal Aging Study Amsterdam; MNA: Mini Nutritional Assessment; PBF: Percentage Body Fat; RBANS: </w:t>
      </w:r>
      <w:r w:rsidR="007537E5" w:rsidRPr="0065408A">
        <w:rPr>
          <w:rStyle w:val="selectable"/>
          <w:rFonts w:ascii="Arial" w:hAnsi="Arial" w:cs="Arial"/>
          <w:sz w:val="24"/>
          <w:szCs w:val="24"/>
          <w:lang w:val="en-US"/>
        </w:rPr>
        <w:t xml:space="preserve">Repeatable Battery for the Assessment of Neuropsychological Status; </w:t>
      </w:r>
      <w:r w:rsidR="001534F6" w:rsidRPr="0065408A">
        <w:rPr>
          <w:rFonts w:ascii="Arial" w:hAnsi="Arial" w:cs="Arial"/>
          <w:sz w:val="24"/>
          <w:szCs w:val="24"/>
          <w:lang w:val="en-US"/>
        </w:rPr>
        <w:t xml:space="preserve">SO: Sarcopenic Obesity; </w:t>
      </w:r>
      <w:r w:rsidR="007537E5" w:rsidRPr="0065408A">
        <w:rPr>
          <w:rStyle w:val="selectable"/>
          <w:rFonts w:ascii="Arial" w:hAnsi="Arial" w:cs="Arial"/>
          <w:sz w:val="24"/>
          <w:szCs w:val="24"/>
          <w:lang w:val="en-US"/>
        </w:rPr>
        <w:t xml:space="preserve">SPPB: Short Physical Performance Battery; TUG: Timed Up-and-Go; </w:t>
      </w:r>
      <w:r w:rsidR="001534F6" w:rsidRPr="0065408A">
        <w:rPr>
          <w:rFonts w:ascii="Arial" w:hAnsi="Arial" w:cs="Arial"/>
          <w:sz w:val="24"/>
          <w:szCs w:val="24"/>
          <w:lang w:val="en-US"/>
        </w:rPr>
        <w:t>WC: Waist Circumference</w:t>
      </w:r>
    </w:p>
    <w:p w14:paraId="5C949417" w14:textId="16BBA3AE" w:rsidR="002E073B" w:rsidRPr="0065408A" w:rsidRDefault="002E073B" w:rsidP="00830047">
      <w:pPr>
        <w:rPr>
          <w:rFonts w:ascii="Arial" w:hAnsi="Arial" w:cs="Arial"/>
          <w:b/>
          <w:bCs/>
          <w:sz w:val="24"/>
          <w:szCs w:val="24"/>
          <w:u w:val="single"/>
          <w:lang w:val="en-US"/>
        </w:rPr>
      </w:pPr>
      <w:r w:rsidRPr="0065408A">
        <w:rPr>
          <w:rFonts w:ascii="Arial" w:hAnsi="Arial" w:cs="Arial"/>
          <w:b/>
          <w:bCs/>
          <w:sz w:val="24"/>
          <w:szCs w:val="24"/>
          <w:u w:val="single"/>
          <w:lang w:val="en-US"/>
        </w:rPr>
        <w:br w:type="page"/>
      </w:r>
    </w:p>
    <w:p w14:paraId="3D7ECDF2" w14:textId="77777777" w:rsidR="007537E5" w:rsidRPr="0065408A" w:rsidRDefault="007537E5" w:rsidP="00830047">
      <w:pPr>
        <w:spacing w:after="0" w:line="480" w:lineRule="auto"/>
        <w:rPr>
          <w:rFonts w:ascii="Arial" w:hAnsi="Arial" w:cs="Arial"/>
          <w:b/>
          <w:bCs/>
          <w:sz w:val="24"/>
          <w:szCs w:val="24"/>
          <w:u w:val="single"/>
          <w:lang w:val="en-US"/>
        </w:rPr>
        <w:sectPr w:rsidR="007537E5" w:rsidRPr="0065408A" w:rsidSect="006063BB">
          <w:headerReference w:type="default" r:id="rId10"/>
          <w:pgSz w:w="11906" w:h="16838"/>
          <w:pgMar w:top="1440" w:right="1440" w:bottom="1440" w:left="1440" w:header="708" w:footer="708" w:gutter="0"/>
          <w:pgNumType w:start="1"/>
          <w:cols w:space="708"/>
          <w:docGrid w:linePitch="360"/>
        </w:sectPr>
      </w:pPr>
    </w:p>
    <w:p w14:paraId="13A84CC2" w14:textId="0E751A4E" w:rsidR="00B5726D" w:rsidRPr="0065408A" w:rsidRDefault="00B5726D" w:rsidP="00830047">
      <w:pPr>
        <w:spacing w:after="0" w:line="480" w:lineRule="auto"/>
        <w:rPr>
          <w:rFonts w:ascii="Arial" w:hAnsi="Arial" w:cs="Arial"/>
          <w:b/>
          <w:bCs/>
          <w:sz w:val="24"/>
          <w:szCs w:val="24"/>
          <w:u w:val="single"/>
          <w:lang w:val="en-US"/>
        </w:rPr>
      </w:pPr>
      <w:r w:rsidRPr="0065408A">
        <w:rPr>
          <w:rFonts w:ascii="Arial" w:hAnsi="Arial" w:cs="Arial"/>
          <w:b/>
          <w:bCs/>
          <w:sz w:val="24"/>
          <w:szCs w:val="24"/>
          <w:u w:val="single"/>
          <w:lang w:val="en-US"/>
        </w:rPr>
        <w:lastRenderedPageBreak/>
        <w:t>ABSTRACT</w:t>
      </w:r>
    </w:p>
    <w:p w14:paraId="14DA3F3E" w14:textId="77777777" w:rsidR="002E073B" w:rsidRPr="0065408A" w:rsidRDefault="002E073B" w:rsidP="00830047">
      <w:pPr>
        <w:spacing w:after="0" w:line="480" w:lineRule="auto"/>
        <w:rPr>
          <w:rFonts w:ascii="Arial" w:hAnsi="Arial" w:cs="Arial"/>
          <w:b/>
          <w:bCs/>
          <w:sz w:val="24"/>
          <w:szCs w:val="24"/>
          <w:u w:val="single"/>
          <w:lang w:val="en-US"/>
        </w:rPr>
      </w:pPr>
    </w:p>
    <w:p w14:paraId="6834A47F" w14:textId="7C70E165" w:rsidR="00696D28" w:rsidRPr="0065408A" w:rsidRDefault="00696D28" w:rsidP="00830047">
      <w:pPr>
        <w:spacing w:after="0" w:line="480" w:lineRule="auto"/>
        <w:rPr>
          <w:rFonts w:ascii="Arial" w:eastAsia="Times New Roman" w:hAnsi="Arial" w:cs="Arial"/>
          <w:sz w:val="24"/>
          <w:szCs w:val="24"/>
          <w:lang w:val="en-US"/>
        </w:rPr>
      </w:pPr>
      <w:r w:rsidRPr="0065408A">
        <w:rPr>
          <w:rFonts w:ascii="Arial" w:eastAsia="Times New Roman" w:hAnsi="Arial" w:cs="Arial"/>
          <w:b/>
          <w:bCs/>
          <w:sz w:val="24"/>
          <w:szCs w:val="24"/>
          <w:lang w:val="en-US"/>
        </w:rPr>
        <w:t>Background:</w:t>
      </w:r>
      <w:r w:rsidRPr="0065408A">
        <w:rPr>
          <w:rFonts w:ascii="Arial" w:eastAsia="Times New Roman" w:hAnsi="Arial" w:cs="Arial"/>
          <w:sz w:val="24"/>
          <w:szCs w:val="24"/>
          <w:lang w:val="en-US"/>
        </w:rPr>
        <w:t xml:space="preserve"> The prevalence of sarcopenic obesity (SO)</w:t>
      </w:r>
      <w:r w:rsidR="00AD5FDC" w:rsidRPr="0065408A">
        <w:rPr>
          <w:rFonts w:ascii="Arial" w:eastAsia="Times New Roman" w:hAnsi="Arial" w:cs="Arial"/>
          <w:sz w:val="24"/>
          <w:szCs w:val="24"/>
          <w:lang w:val="en-US"/>
        </w:rPr>
        <w:t xml:space="preserve"> and its effect</w:t>
      </w:r>
      <w:r w:rsidR="00FF6F06" w:rsidRPr="0065408A">
        <w:rPr>
          <w:rFonts w:ascii="Arial" w:eastAsia="Times New Roman" w:hAnsi="Arial" w:cs="Arial"/>
          <w:sz w:val="24"/>
          <w:szCs w:val="24"/>
          <w:lang w:val="en-US"/>
        </w:rPr>
        <w:t>s</w:t>
      </w:r>
      <w:r w:rsidR="00AD5FDC" w:rsidRPr="0065408A">
        <w:rPr>
          <w:rFonts w:ascii="Arial" w:eastAsia="Times New Roman" w:hAnsi="Arial" w:cs="Arial"/>
          <w:sz w:val="24"/>
          <w:szCs w:val="24"/>
          <w:lang w:val="en-US"/>
        </w:rPr>
        <w:t xml:space="preserve"> on</w:t>
      </w:r>
      <w:r w:rsidRPr="0065408A">
        <w:rPr>
          <w:rFonts w:ascii="Arial" w:eastAsia="Times New Roman" w:hAnsi="Arial" w:cs="Arial"/>
          <w:sz w:val="24"/>
          <w:szCs w:val="24"/>
          <w:lang w:val="en-US"/>
        </w:rPr>
        <w:t xml:space="preserve"> </w:t>
      </w:r>
      <w:r w:rsidR="00AD5FDC" w:rsidRPr="0065408A">
        <w:rPr>
          <w:rFonts w:ascii="Arial" w:eastAsia="Times New Roman" w:hAnsi="Arial" w:cs="Arial"/>
          <w:sz w:val="24"/>
          <w:szCs w:val="24"/>
          <w:lang w:val="en-US"/>
        </w:rPr>
        <w:t>functional disability</w:t>
      </w:r>
      <w:r w:rsidRPr="0065408A">
        <w:rPr>
          <w:rFonts w:ascii="Arial" w:eastAsia="Times New Roman" w:hAnsi="Arial" w:cs="Arial"/>
          <w:sz w:val="24"/>
          <w:szCs w:val="24"/>
          <w:lang w:val="en-US"/>
        </w:rPr>
        <w:t xml:space="preserve"> </w:t>
      </w:r>
      <w:r w:rsidR="00D37C05" w:rsidRPr="0065408A">
        <w:rPr>
          <w:rFonts w:ascii="Arial" w:eastAsia="Times New Roman" w:hAnsi="Arial" w:cs="Arial"/>
          <w:sz w:val="24"/>
          <w:szCs w:val="24"/>
          <w:lang w:val="en-US"/>
        </w:rPr>
        <w:t>are</w:t>
      </w:r>
      <w:r w:rsidRPr="0065408A">
        <w:rPr>
          <w:rFonts w:ascii="Arial" w:eastAsia="Times New Roman" w:hAnsi="Arial" w:cs="Arial"/>
          <w:sz w:val="24"/>
          <w:szCs w:val="24"/>
          <w:lang w:val="en-US"/>
        </w:rPr>
        <w:t xml:space="preserve"> of particular concern. Due to the lack of a uniform obesity definition, there is marked variability in reported SO prevalence and </w:t>
      </w:r>
      <w:r w:rsidR="00AD5FDC" w:rsidRPr="0065408A">
        <w:rPr>
          <w:rFonts w:ascii="Arial" w:eastAsia="Times New Roman" w:hAnsi="Arial" w:cs="Arial"/>
          <w:sz w:val="24"/>
          <w:szCs w:val="24"/>
          <w:lang w:val="en-US"/>
        </w:rPr>
        <w:t>inconsistent</w:t>
      </w:r>
      <w:r w:rsidRPr="0065408A">
        <w:rPr>
          <w:rFonts w:ascii="Arial" w:eastAsia="Times New Roman" w:hAnsi="Arial" w:cs="Arial"/>
          <w:sz w:val="24"/>
          <w:szCs w:val="24"/>
          <w:lang w:val="en-US"/>
        </w:rPr>
        <w:t xml:space="preserve"> data on observed adverse health outcomes.</w:t>
      </w:r>
    </w:p>
    <w:p w14:paraId="46979466" w14:textId="1A0447BD" w:rsidR="00696D28" w:rsidRPr="0065408A" w:rsidRDefault="00696D28" w:rsidP="00830047">
      <w:pPr>
        <w:spacing w:after="0" w:line="480" w:lineRule="auto"/>
        <w:rPr>
          <w:rFonts w:ascii="Arial" w:eastAsia="Times New Roman" w:hAnsi="Arial" w:cs="Arial"/>
          <w:sz w:val="24"/>
          <w:szCs w:val="24"/>
          <w:lang w:val="en-US"/>
        </w:rPr>
      </w:pPr>
      <w:r w:rsidRPr="0065408A">
        <w:rPr>
          <w:rFonts w:ascii="Arial" w:eastAsia="Times New Roman" w:hAnsi="Arial" w:cs="Arial"/>
          <w:b/>
          <w:bCs/>
          <w:sz w:val="24"/>
          <w:szCs w:val="24"/>
          <w:lang w:val="en-US"/>
        </w:rPr>
        <w:t>Objectives:</w:t>
      </w:r>
      <w:r w:rsidRPr="0065408A">
        <w:rPr>
          <w:rFonts w:ascii="Arial" w:eastAsia="Times New Roman" w:hAnsi="Arial" w:cs="Arial"/>
          <w:sz w:val="24"/>
          <w:szCs w:val="24"/>
          <w:lang w:val="en-US"/>
        </w:rPr>
        <w:t xml:space="preserve"> We compare SO prevalence and the associations of SO with physical function using </w:t>
      </w:r>
      <w:r w:rsidR="00AD5FDC" w:rsidRPr="0065408A">
        <w:rPr>
          <w:rFonts w:ascii="Arial" w:eastAsia="Times New Roman" w:hAnsi="Arial" w:cs="Arial"/>
          <w:sz w:val="24"/>
          <w:szCs w:val="24"/>
          <w:lang w:val="en-US"/>
        </w:rPr>
        <w:t xml:space="preserve">sarcopenia according to current </w:t>
      </w:r>
      <w:r w:rsidR="0065408A" w:rsidRPr="0065408A">
        <w:rPr>
          <w:rFonts w:ascii="Arial" w:eastAsia="Times New Roman" w:hAnsi="Arial" w:cs="Arial"/>
          <w:sz w:val="24"/>
          <w:szCs w:val="24"/>
          <w:lang w:val="en-US"/>
        </w:rPr>
        <w:t>Asian Working Group for Sarcopenia (</w:t>
      </w:r>
      <w:r w:rsidRPr="0065408A">
        <w:rPr>
          <w:rFonts w:ascii="Arial" w:eastAsia="Times New Roman" w:hAnsi="Arial" w:cs="Arial"/>
          <w:sz w:val="24"/>
          <w:szCs w:val="24"/>
          <w:lang w:val="en-US"/>
        </w:rPr>
        <w:t>AWGS</w:t>
      </w:r>
      <w:r w:rsidR="0065408A" w:rsidRPr="0065408A">
        <w:rPr>
          <w:rFonts w:ascii="Arial" w:eastAsia="Times New Roman" w:hAnsi="Arial" w:cs="Arial"/>
          <w:sz w:val="24"/>
          <w:szCs w:val="24"/>
          <w:lang w:val="en-US"/>
        </w:rPr>
        <w:t>)</w:t>
      </w:r>
      <w:r w:rsidRPr="0065408A">
        <w:rPr>
          <w:rFonts w:ascii="Arial" w:eastAsia="Times New Roman" w:hAnsi="Arial" w:cs="Arial"/>
          <w:sz w:val="24"/>
          <w:szCs w:val="24"/>
          <w:lang w:val="en-US"/>
        </w:rPr>
        <w:t xml:space="preserve"> guidelines</w:t>
      </w:r>
      <w:r w:rsidR="00FF6F06" w:rsidRPr="0065408A">
        <w:rPr>
          <w:rFonts w:ascii="Arial" w:eastAsia="Times New Roman" w:hAnsi="Arial" w:cs="Arial"/>
          <w:sz w:val="24"/>
          <w:szCs w:val="24"/>
          <w:lang w:val="en-US"/>
        </w:rPr>
        <w:t xml:space="preserve"> and</w:t>
      </w:r>
      <w:r w:rsidRPr="0065408A">
        <w:rPr>
          <w:rFonts w:ascii="Arial" w:eastAsia="Times New Roman" w:hAnsi="Arial" w:cs="Arial"/>
          <w:sz w:val="24"/>
          <w:szCs w:val="24"/>
          <w:lang w:val="en-US"/>
        </w:rPr>
        <w:t xml:space="preserve"> </w:t>
      </w:r>
      <w:r w:rsidR="00AD5FDC" w:rsidRPr="0065408A">
        <w:rPr>
          <w:rFonts w:ascii="Arial" w:eastAsia="Times New Roman" w:hAnsi="Arial" w:cs="Arial"/>
          <w:sz w:val="24"/>
          <w:szCs w:val="24"/>
          <w:lang w:val="en-US"/>
        </w:rPr>
        <w:t>with</w:t>
      </w:r>
      <w:r w:rsidRPr="0065408A">
        <w:rPr>
          <w:rFonts w:ascii="Arial" w:eastAsia="Times New Roman" w:hAnsi="Arial" w:cs="Arial"/>
          <w:sz w:val="24"/>
          <w:szCs w:val="24"/>
          <w:lang w:val="en-US"/>
        </w:rPr>
        <w:t xml:space="preserve"> different obesity </w:t>
      </w:r>
      <w:r w:rsidR="00AD5FDC" w:rsidRPr="0065408A">
        <w:rPr>
          <w:rFonts w:ascii="Arial" w:eastAsia="Times New Roman" w:hAnsi="Arial" w:cs="Arial"/>
          <w:sz w:val="24"/>
          <w:szCs w:val="24"/>
          <w:lang w:val="en-US"/>
        </w:rPr>
        <w:t>measure</w:t>
      </w:r>
      <w:r w:rsidRPr="0065408A">
        <w:rPr>
          <w:rFonts w:ascii="Arial" w:eastAsia="Times New Roman" w:hAnsi="Arial" w:cs="Arial"/>
          <w:sz w:val="24"/>
          <w:szCs w:val="24"/>
          <w:lang w:val="en-US"/>
        </w:rPr>
        <w:t>s.</w:t>
      </w:r>
      <w:r w:rsidRPr="0065408A">
        <w:rPr>
          <w:rFonts w:ascii="Arial" w:hAnsi="Arial" w:cs="Arial"/>
          <w:sz w:val="24"/>
          <w:szCs w:val="24"/>
          <w:lang w:val="en-US"/>
        </w:rPr>
        <w:t xml:space="preserve"> We </w:t>
      </w:r>
      <w:r w:rsidR="00AD5FDC" w:rsidRPr="0065408A">
        <w:rPr>
          <w:rFonts w:ascii="Arial" w:hAnsi="Arial" w:cs="Arial"/>
          <w:sz w:val="24"/>
          <w:szCs w:val="24"/>
          <w:lang w:val="en-US"/>
        </w:rPr>
        <w:t>recommend</w:t>
      </w:r>
      <w:r w:rsidRPr="0065408A">
        <w:rPr>
          <w:rFonts w:ascii="Arial" w:hAnsi="Arial" w:cs="Arial"/>
          <w:sz w:val="24"/>
          <w:szCs w:val="24"/>
          <w:lang w:val="en-US"/>
        </w:rPr>
        <w:t xml:space="preserve"> that the most optimal SO diagnostic formulation would be one that is most significantly associated with </w:t>
      </w:r>
      <w:r w:rsidR="00AD5FDC" w:rsidRPr="0065408A">
        <w:rPr>
          <w:rFonts w:ascii="Arial" w:hAnsi="Arial" w:cs="Arial"/>
          <w:sz w:val="24"/>
          <w:szCs w:val="24"/>
          <w:lang w:val="en-US"/>
        </w:rPr>
        <w:t xml:space="preserve">reduced </w:t>
      </w:r>
      <w:r w:rsidRPr="0065408A">
        <w:rPr>
          <w:rFonts w:ascii="Arial" w:hAnsi="Arial" w:cs="Arial"/>
          <w:sz w:val="24"/>
          <w:szCs w:val="24"/>
          <w:lang w:val="en-US"/>
        </w:rPr>
        <w:t>physical function.</w:t>
      </w:r>
    </w:p>
    <w:p w14:paraId="4024D4FC" w14:textId="79BFD063" w:rsidR="00696D28" w:rsidRPr="0065408A" w:rsidRDefault="00696D28" w:rsidP="00830047">
      <w:pPr>
        <w:spacing w:after="0" w:line="480" w:lineRule="auto"/>
        <w:rPr>
          <w:rFonts w:ascii="Arial" w:hAnsi="Arial" w:cs="Arial"/>
          <w:sz w:val="24"/>
          <w:szCs w:val="24"/>
          <w:lang w:val="en-US"/>
        </w:rPr>
      </w:pPr>
      <w:r w:rsidRPr="0065408A">
        <w:rPr>
          <w:rFonts w:ascii="Arial" w:eastAsia="Times New Roman" w:hAnsi="Arial" w:cs="Arial"/>
          <w:b/>
          <w:bCs/>
          <w:sz w:val="24"/>
          <w:szCs w:val="24"/>
          <w:lang w:val="en-US"/>
        </w:rPr>
        <w:t>Design:</w:t>
      </w:r>
      <w:r w:rsidRPr="0065408A">
        <w:rPr>
          <w:rFonts w:ascii="Arial" w:eastAsia="Times New Roman" w:hAnsi="Arial" w:cs="Arial"/>
          <w:sz w:val="24"/>
          <w:szCs w:val="24"/>
          <w:lang w:val="en-US"/>
        </w:rPr>
        <w:t xml:space="preserve"> </w:t>
      </w:r>
      <w:r w:rsidR="0065408A" w:rsidRPr="0065408A">
        <w:rPr>
          <w:rFonts w:ascii="Arial" w:hAnsi="Arial" w:cs="Arial"/>
          <w:sz w:val="24"/>
          <w:szCs w:val="24"/>
          <w:lang w:val="en-US"/>
        </w:rPr>
        <w:t>535</w:t>
      </w:r>
      <w:r w:rsidRPr="0065408A">
        <w:rPr>
          <w:rFonts w:ascii="Arial" w:hAnsi="Arial" w:cs="Arial"/>
          <w:sz w:val="24"/>
          <w:szCs w:val="24"/>
          <w:lang w:val="en-US"/>
        </w:rPr>
        <w:t xml:space="preserve"> healthy, community-dwelling Singaporeans were recruited (21-90 years old, 57.9% women). We assessed anthropometry, body composition, and questionnaire-based physical and cognitive factors, and estimated SO prevalence with obesity defined according to </w:t>
      </w:r>
      <w:r w:rsidRPr="0065408A">
        <w:rPr>
          <w:rFonts w:ascii="Arial" w:eastAsia="Times New Roman" w:hAnsi="Arial" w:cs="Arial"/>
          <w:sz w:val="24"/>
          <w:szCs w:val="24"/>
          <w:lang w:val="en-US"/>
        </w:rPr>
        <w:t xml:space="preserve">waist circumference (WC), percentage body fat (PBF), fat mass index (FMI) and fat mass/fat-free mass ratio (FM/FFM). Muscle function was compared among phenotypes and obesity definitions using ANOVA. Differences across obesity </w:t>
      </w:r>
      <w:r w:rsidR="00AD5FDC" w:rsidRPr="0065408A">
        <w:rPr>
          <w:rFonts w:ascii="Arial" w:eastAsia="Times New Roman" w:hAnsi="Arial" w:cs="Arial"/>
          <w:sz w:val="24"/>
          <w:szCs w:val="24"/>
          <w:lang w:val="en-US"/>
        </w:rPr>
        <w:t>measure</w:t>
      </w:r>
      <w:r w:rsidRPr="0065408A">
        <w:rPr>
          <w:rFonts w:ascii="Arial" w:eastAsia="Times New Roman" w:hAnsi="Arial" w:cs="Arial"/>
          <w:sz w:val="24"/>
          <w:szCs w:val="24"/>
          <w:lang w:val="en-US"/>
        </w:rPr>
        <w:t>s were further ascertained using multiple linear regressions to determine their associations with the Short Physical Performance Battery (SPPB).</w:t>
      </w:r>
    </w:p>
    <w:p w14:paraId="600BAFC5" w14:textId="423FB47F" w:rsidR="00696D28" w:rsidRPr="0065408A" w:rsidRDefault="00696D28" w:rsidP="00830047">
      <w:pPr>
        <w:spacing w:after="0" w:line="480" w:lineRule="auto"/>
        <w:rPr>
          <w:rFonts w:ascii="Arial" w:eastAsia="Times New Roman" w:hAnsi="Arial" w:cs="Arial"/>
          <w:sz w:val="24"/>
          <w:szCs w:val="24"/>
          <w:lang w:val="en-US"/>
        </w:rPr>
      </w:pPr>
      <w:r w:rsidRPr="0065408A">
        <w:rPr>
          <w:rFonts w:ascii="Arial" w:eastAsia="Times New Roman" w:hAnsi="Arial" w:cs="Arial"/>
          <w:b/>
          <w:bCs/>
          <w:sz w:val="24"/>
          <w:szCs w:val="24"/>
          <w:lang w:val="en-US"/>
        </w:rPr>
        <w:t>Results:</w:t>
      </w:r>
      <w:r w:rsidRPr="0065408A">
        <w:rPr>
          <w:rFonts w:ascii="Arial" w:eastAsia="Times New Roman" w:hAnsi="Arial" w:cs="Arial"/>
          <w:sz w:val="24"/>
          <w:szCs w:val="24"/>
          <w:lang w:val="en-US"/>
        </w:rPr>
        <w:t xml:space="preserve"> Overall prevalence of SO was </w:t>
      </w:r>
      <w:r w:rsidRPr="0065408A">
        <w:rPr>
          <w:rFonts w:ascii="Arial" w:hAnsi="Arial" w:cs="Arial"/>
          <w:sz w:val="24"/>
          <w:szCs w:val="24"/>
          <w:lang w:val="en-US"/>
        </w:rPr>
        <w:t>7.6% (WC-based), 5.1% (PBF-based), 2.7% (FMI-based), and 1.5% (FM/FFM-based). The SO phenotype consistently performed poorer than the obese group (</w:t>
      </w:r>
      <w:r w:rsidRPr="0065408A">
        <w:rPr>
          <w:rFonts w:ascii="Arial" w:hAnsi="Arial" w:cs="Arial"/>
          <w:i/>
          <w:iCs/>
          <w:sz w:val="24"/>
          <w:szCs w:val="24"/>
          <w:lang w:val="en-US"/>
        </w:rPr>
        <w:t>p</w:t>
      </w:r>
      <w:r w:rsidRPr="0065408A">
        <w:rPr>
          <w:rFonts w:ascii="Arial" w:hAnsi="Arial" w:cs="Arial"/>
          <w:sz w:val="24"/>
          <w:szCs w:val="24"/>
          <w:lang w:val="en-US"/>
        </w:rPr>
        <w:t>&lt;</w:t>
      </w:r>
      <w:r w:rsidR="0065408A" w:rsidRPr="0065408A">
        <w:rPr>
          <w:rFonts w:ascii="Arial" w:hAnsi="Arial" w:cs="Arial"/>
          <w:sz w:val="24"/>
          <w:szCs w:val="24"/>
          <w:lang w:val="en-US"/>
        </w:rPr>
        <w:t>0</w:t>
      </w:r>
      <w:r w:rsidRPr="0065408A">
        <w:rPr>
          <w:rFonts w:ascii="Arial" w:hAnsi="Arial" w:cs="Arial"/>
          <w:sz w:val="24"/>
          <w:szCs w:val="24"/>
          <w:lang w:val="en-US"/>
        </w:rPr>
        <w:t xml:space="preserve">.05) except for FM/FFM-based </w:t>
      </w:r>
      <w:r w:rsidR="007F3426" w:rsidRPr="0065408A">
        <w:rPr>
          <w:rFonts w:ascii="Arial" w:hAnsi="Arial" w:cs="Arial"/>
          <w:sz w:val="24"/>
          <w:szCs w:val="24"/>
          <w:lang w:val="en-US"/>
        </w:rPr>
        <w:t>measure</w:t>
      </w:r>
      <w:r w:rsidRPr="0065408A">
        <w:rPr>
          <w:rFonts w:ascii="Arial" w:hAnsi="Arial" w:cs="Arial"/>
          <w:sz w:val="24"/>
          <w:szCs w:val="24"/>
          <w:lang w:val="en-US"/>
        </w:rPr>
        <w:t>, and performed poorer than the sarcopenic group in SPPB (</w:t>
      </w:r>
      <w:r w:rsidRPr="0065408A">
        <w:rPr>
          <w:rFonts w:ascii="Arial" w:hAnsi="Arial" w:cs="Arial"/>
          <w:i/>
          <w:iCs/>
          <w:sz w:val="24"/>
          <w:szCs w:val="24"/>
          <w:lang w:val="en-US"/>
        </w:rPr>
        <w:t>p</w:t>
      </w:r>
      <w:r w:rsidRPr="0065408A">
        <w:rPr>
          <w:rFonts w:ascii="Arial" w:hAnsi="Arial" w:cs="Arial"/>
          <w:sz w:val="24"/>
          <w:szCs w:val="24"/>
          <w:lang w:val="en-US"/>
        </w:rPr>
        <w:t>&lt;</w:t>
      </w:r>
      <w:r w:rsidR="0065408A" w:rsidRPr="0065408A">
        <w:rPr>
          <w:rFonts w:ascii="Arial" w:hAnsi="Arial" w:cs="Arial"/>
          <w:sz w:val="24"/>
          <w:szCs w:val="24"/>
          <w:lang w:val="en-US"/>
        </w:rPr>
        <w:t>0</w:t>
      </w:r>
      <w:r w:rsidRPr="0065408A">
        <w:rPr>
          <w:rFonts w:ascii="Arial" w:hAnsi="Arial" w:cs="Arial"/>
          <w:sz w:val="24"/>
          <w:szCs w:val="24"/>
          <w:lang w:val="en-US"/>
        </w:rPr>
        <w:t xml:space="preserve">.05) only in the PBF and FMI-based </w:t>
      </w:r>
      <w:r w:rsidR="007F3426" w:rsidRPr="0065408A">
        <w:rPr>
          <w:rFonts w:ascii="Arial" w:hAnsi="Arial" w:cs="Arial"/>
          <w:sz w:val="24"/>
          <w:szCs w:val="24"/>
          <w:lang w:val="en-US"/>
        </w:rPr>
        <w:t>measure</w:t>
      </w:r>
      <w:r w:rsidRPr="0065408A">
        <w:rPr>
          <w:rFonts w:ascii="Arial" w:hAnsi="Arial" w:cs="Arial"/>
          <w:sz w:val="24"/>
          <w:szCs w:val="24"/>
          <w:lang w:val="en-US"/>
        </w:rPr>
        <w:t xml:space="preserve">s. SO was significantly associated with SPPB in the </w:t>
      </w:r>
      <w:r w:rsidR="001F7C75">
        <w:rPr>
          <w:rFonts w:ascii="Arial" w:hAnsi="Arial" w:cs="Arial"/>
          <w:sz w:val="24"/>
          <w:szCs w:val="24"/>
          <w:lang w:val="en-US"/>
        </w:rPr>
        <w:t xml:space="preserve">PBF and </w:t>
      </w:r>
      <w:r w:rsidRPr="0065408A">
        <w:rPr>
          <w:rFonts w:ascii="Arial" w:hAnsi="Arial" w:cs="Arial"/>
          <w:sz w:val="24"/>
          <w:szCs w:val="24"/>
          <w:lang w:val="en-US"/>
        </w:rPr>
        <w:lastRenderedPageBreak/>
        <w:t>FMI models</w:t>
      </w:r>
      <w:r w:rsidR="00C9465F" w:rsidRPr="0065408A">
        <w:rPr>
          <w:rFonts w:ascii="Arial" w:hAnsi="Arial" w:cs="Arial"/>
          <w:sz w:val="24"/>
          <w:szCs w:val="24"/>
          <w:lang w:val="en-US"/>
        </w:rPr>
        <w:t xml:space="preserve"> (</w:t>
      </w:r>
      <w:r w:rsidR="00C9465F" w:rsidRPr="0065408A">
        <w:rPr>
          <w:rFonts w:ascii="Arial" w:hAnsi="Arial" w:cs="Arial"/>
          <w:i/>
          <w:iCs/>
          <w:sz w:val="24"/>
          <w:szCs w:val="24"/>
          <w:lang w:val="en-US"/>
        </w:rPr>
        <w:t>p</w:t>
      </w:r>
      <w:r w:rsidR="00C9465F" w:rsidRPr="0065408A">
        <w:rPr>
          <w:rFonts w:ascii="Arial" w:hAnsi="Arial" w:cs="Arial"/>
          <w:sz w:val="24"/>
          <w:szCs w:val="24"/>
          <w:lang w:val="en-US"/>
        </w:rPr>
        <w:t>&lt;</w:t>
      </w:r>
      <w:r w:rsidR="0065408A" w:rsidRPr="0065408A">
        <w:rPr>
          <w:rFonts w:ascii="Arial" w:hAnsi="Arial" w:cs="Arial"/>
          <w:sz w:val="24"/>
          <w:szCs w:val="24"/>
          <w:lang w:val="en-US"/>
        </w:rPr>
        <w:t>0</w:t>
      </w:r>
      <w:r w:rsidR="00C9465F" w:rsidRPr="0065408A">
        <w:rPr>
          <w:rFonts w:ascii="Arial" w:hAnsi="Arial" w:cs="Arial"/>
          <w:sz w:val="24"/>
          <w:szCs w:val="24"/>
          <w:lang w:val="en-US"/>
        </w:rPr>
        <w:t>.05).</w:t>
      </w:r>
      <w:r w:rsidR="001F7C75">
        <w:rPr>
          <w:rFonts w:ascii="Arial" w:hAnsi="Arial" w:cs="Arial"/>
          <w:sz w:val="24"/>
          <w:szCs w:val="24"/>
          <w:lang w:val="en-US"/>
        </w:rPr>
        <w:t xml:space="preserve"> </w:t>
      </w:r>
      <w:r w:rsidR="008C0121">
        <w:rPr>
          <w:rFonts w:ascii="Arial" w:hAnsi="Arial" w:cs="Arial"/>
          <w:sz w:val="24"/>
          <w:szCs w:val="24"/>
          <w:lang w:val="en-US"/>
        </w:rPr>
        <w:t>T</w:t>
      </w:r>
      <w:r w:rsidR="008C0121" w:rsidRPr="0065408A">
        <w:rPr>
          <w:rFonts w:ascii="Arial" w:hAnsi="Arial" w:cs="Arial"/>
          <w:sz w:val="24"/>
          <w:szCs w:val="24"/>
          <w:lang w:val="en-US"/>
        </w:rPr>
        <w:t xml:space="preserve">otal variance explained by the different regression models was highest for the </w:t>
      </w:r>
      <w:r w:rsidR="008C0121">
        <w:rPr>
          <w:rFonts w:ascii="Arial" w:hAnsi="Arial" w:cs="Arial"/>
          <w:sz w:val="24"/>
          <w:szCs w:val="24"/>
          <w:lang w:val="en-US"/>
        </w:rPr>
        <w:t>FMI</w:t>
      </w:r>
      <w:r w:rsidR="008C0121" w:rsidRPr="0065408A">
        <w:rPr>
          <w:rFonts w:ascii="Arial" w:hAnsi="Arial" w:cs="Arial"/>
          <w:sz w:val="24"/>
          <w:szCs w:val="24"/>
          <w:lang w:val="en-US"/>
        </w:rPr>
        <w:t xml:space="preserve"> definition</w:t>
      </w:r>
      <w:r w:rsidR="008C0121">
        <w:rPr>
          <w:rFonts w:ascii="Arial" w:hAnsi="Arial" w:cs="Arial"/>
          <w:sz w:val="24"/>
          <w:szCs w:val="24"/>
          <w:lang w:val="en-US"/>
        </w:rPr>
        <w:t>.</w:t>
      </w:r>
    </w:p>
    <w:p w14:paraId="3B630BCF" w14:textId="37218803" w:rsidR="00696D28" w:rsidRPr="0065408A" w:rsidRDefault="00696D28" w:rsidP="00830047">
      <w:pPr>
        <w:spacing w:after="0" w:line="480" w:lineRule="auto"/>
        <w:rPr>
          <w:rFonts w:ascii="Arial" w:eastAsia="Times New Roman" w:hAnsi="Arial" w:cs="Arial"/>
          <w:sz w:val="24"/>
          <w:szCs w:val="24"/>
          <w:lang w:val="en-US"/>
        </w:rPr>
      </w:pPr>
      <w:r w:rsidRPr="0065408A">
        <w:rPr>
          <w:rFonts w:ascii="Arial" w:eastAsia="Times New Roman" w:hAnsi="Arial" w:cs="Arial"/>
          <w:b/>
          <w:bCs/>
          <w:sz w:val="24"/>
          <w:szCs w:val="24"/>
          <w:lang w:val="en-US"/>
        </w:rPr>
        <w:t xml:space="preserve">Conclusions: </w:t>
      </w:r>
      <w:r w:rsidRPr="0065408A">
        <w:rPr>
          <w:rFonts w:ascii="Arial" w:eastAsia="Times New Roman" w:hAnsi="Arial" w:cs="Arial"/>
          <w:sz w:val="24"/>
          <w:szCs w:val="24"/>
          <w:lang w:val="en-US"/>
        </w:rPr>
        <w:t xml:space="preserve">Our findings suggest FMI </w:t>
      </w:r>
      <w:r w:rsidR="007F3426" w:rsidRPr="0065408A">
        <w:rPr>
          <w:rFonts w:ascii="Arial" w:eastAsia="Times New Roman" w:hAnsi="Arial" w:cs="Arial"/>
          <w:sz w:val="24"/>
          <w:szCs w:val="24"/>
          <w:lang w:val="en-US"/>
        </w:rPr>
        <w:t>as</w:t>
      </w:r>
      <w:r w:rsidRPr="0065408A">
        <w:rPr>
          <w:rFonts w:ascii="Arial" w:eastAsia="Times New Roman" w:hAnsi="Arial" w:cs="Arial"/>
          <w:sz w:val="24"/>
          <w:szCs w:val="24"/>
          <w:lang w:val="en-US"/>
        </w:rPr>
        <w:t xml:space="preserve"> the most preferred measur</w:t>
      </w:r>
      <w:r w:rsidR="007F3426" w:rsidRPr="0065408A">
        <w:rPr>
          <w:rFonts w:ascii="Arial" w:eastAsia="Times New Roman" w:hAnsi="Arial" w:cs="Arial"/>
          <w:sz w:val="24"/>
          <w:szCs w:val="24"/>
          <w:lang w:val="en-US"/>
        </w:rPr>
        <w:t>e for</w:t>
      </w:r>
      <w:r w:rsidRPr="0065408A">
        <w:rPr>
          <w:rFonts w:ascii="Arial" w:eastAsia="Times New Roman" w:hAnsi="Arial" w:cs="Arial"/>
          <w:sz w:val="24"/>
          <w:szCs w:val="24"/>
          <w:lang w:val="en-US"/>
        </w:rPr>
        <w:t xml:space="preserve"> obesity and support its use as a </w:t>
      </w:r>
      <w:proofErr w:type="gramStart"/>
      <w:r w:rsidRPr="0065408A">
        <w:rPr>
          <w:rFonts w:ascii="Arial" w:eastAsia="Times New Roman" w:hAnsi="Arial" w:cs="Arial"/>
          <w:sz w:val="24"/>
          <w:szCs w:val="24"/>
          <w:lang w:val="en-US"/>
        </w:rPr>
        <w:t>diagnostic criteria</w:t>
      </w:r>
      <w:proofErr w:type="gramEnd"/>
      <w:r w:rsidRPr="0065408A">
        <w:rPr>
          <w:rFonts w:ascii="Arial" w:eastAsia="Times New Roman" w:hAnsi="Arial" w:cs="Arial"/>
          <w:sz w:val="24"/>
          <w:szCs w:val="24"/>
          <w:lang w:val="en-US"/>
        </w:rPr>
        <w:t xml:space="preserve"> for sarcopenic obesity.</w:t>
      </w:r>
    </w:p>
    <w:p w14:paraId="73A13FC4" w14:textId="77777777" w:rsidR="00696D28" w:rsidRPr="0065408A" w:rsidRDefault="00696D28" w:rsidP="00830047">
      <w:pPr>
        <w:spacing w:after="0" w:line="480" w:lineRule="auto"/>
        <w:rPr>
          <w:rFonts w:ascii="Arial" w:hAnsi="Arial" w:cs="Arial"/>
          <w:sz w:val="24"/>
          <w:szCs w:val="24"/>
          <w:lang w:val="en-US"/>
        </w:rPr>
      </w:pPr>
      <w:r w:rsidRPr="0065408A">
        <w:rPr>
          <w:rFonts w:ascii="Arial" w:hAnsi="Arial" w:cs="Arial"/>
          <w:b/>
          <w:bCs/>
          <w:sz w:val="24"/>
          <w:szCs w:val="24"/>
          <w:lang w:val="en-US"/>
        </w:rPr>
        <w:t xml:space="preserve">Keywords: </w:t>
      </w:r>
      <w:r w:rsidRPr="0065408A">
        <w:rPr>
          <w:rFonts w:ascii="Arial" w:hAnsi="Arial" w:cs="Arial"/>
          <w:sz w:val="24"/>
          <w:szCs w:val="24"/>
          <w:lang w:val="en-US"/>
        </w:rPr>
        <w:t>Sarcopenic Obesity; Sarcopenia; Obesity; Prevalence; Muscle Strength; Skeletal Muscle Mass; Singapore</w:t>
      </w:r>
    </w:p>
    <w:p w14:paraId="6ECDB303" w14:textId="56436C5E" w:rsidR="00B5726D" w:rsidRPr="0065408A" w:rsidRDefault="00B5726D" w:rsidP="00830047">
      <w:pPr>
        <w:spacing w:after="0" w:line="480" w:lineRule="auto"/>
        <w:rPr>
          <w:rFonts w:ascii="Arial" w:hAnsi="Arial" w:cs="Arial"/>
          <w:sz w:val="24"/>
          <w:szCs w:val="24"/>
          <w:lang w:val="en-US"/>
        </w:rPr>
      </w:pPr>
      <w:r w:rsidRPr="0065408A">
        <w:rPr>
          <w:rFonts w:ascii="Arial" w:hAnsi="Arial" w:cs="Arial"/>
          <w:b/>
          <w:sz w:val="24"/>
          <w:szCs w:val="24"/>
          <w:u w:val="single"/>
          <w:lang w:val="en-US"/>
        </w:rPr>
        <w:br w:type="page"/>
      </w:r>
    </w:p>
    <w:p w14:paraId="680E189E" w14:textId="050880BD" w:rsidR="00373F75" w:rsidRPr="0065408A" w:rsidRDefault="00373F75" w:rsidP="00830047">
      <w:pPr>
        <w:spacing w:after="0" w:line="480" w:lineRule="auto"/>
        <w:rPr>
          <w:rFonts w:ascii="Arial" w:hAnsi="Arial" w:cs="Arial"/>
          <w:b/>
          <w:sz w:val="24"/>
          <w:szCs w:val="24"/>
          <w:u w:val="single"/>
          <w:lang w:val="en-US"/>
        </w:rPr>
      </w:pPr>
      <w:r w:rsidRPr="0065408A">
        <w:rPr>
          <w:rFonts w:ascii="Arial" w:hAnsi="Arial" w:cs="Arial"/>
          <w:b/>
          <w:sz w:val="24"/>
          <w:szCs w:val="24"/>
          <w:u w:val="single"/>
          <w:lang w:val="en-US"/>
        </w:rPr>
        <w:lastRenderedPageBreak/>
        <w:t>INTRODUCTION</w:t>
      </w:r>
    </w:p>
    <w:p w14:paraId="6969B395" w14:textId="171B5D6F" w:rsidR="00373F75" w:rsidRPr="0065408A" w:rsidRDefault="00373F75" w:rsidP="00830047">
      <w:pPr>
        <w:spacing w:after="0" w:line="480" w:lineRule="auto"/>
        <w:rPr>
          <w:rFonts w:ascii="Arial" w:hAnsi="Arial" w:cs="Arial"/>
          <w:b/>
          <w:sz w:val="24"/>
          <w:szCs w:val="24"/>
          <w:u w:val="single"/>
          <w:lang w:val="en-US"/>
        </w:rPr>
      </w:pPr>
    </w:p>
    <w:p w14:paraId="400BD2EE" w14:textId="224DCC07" w:rsidR="0095064A" w:rsidRPr="0065408A" w:rsidRDefault="00D67505" w:rsidP="00830047">
      <w:pPr>
        <w:spacing w:after="0" w:line="480" w:lineRule="auto"/>
        <w:rPr>
          <w:rFonts w:ascii="Arial" w:hAnsi="Arial" w:cs="Arial"/>
          <w:sz w:val="24"/>
          <w:szCs w:val="24"/>
          <w:lang w:val="en-US"/>
        </w:rPr>
      </w:pPr>
      <w:r w:rsidRPr="0065408A">
        <w:rPr>
          <w:rFonts w:ascii="Arial" w:hAnsi="Arial" w:cs="Arial"/>
          <w:sz w:val="24"/>
          <w:szCs w:val="24"/>
          <w:lang w:val="en-US"/>
        </w:rPr>
        <w:t>The rising tide of o</w:t>
      </w:r>
      <w:r w:rsidR="00263CBA" w:rsidRPr="0065408A">
        <w:rPr>
          <w:rFonts w:ascii="Arial" w:hAnsi="Arial" w:cs="Arial"/>
          <w:sz w:val="24"/>
          <w:szCs w:val="24"/>
          <w:lang w:val="en-US"/>
        </w:rPr>
        <w:t xml:space="preserve">besity </w:t>
      </w:r>
      <w:r w:rsidRPr="0065408A">
        <w:rPr>
          <w:rFonts w:ascii="Arial" w:hAnsi="Arial" w:cs="Arial"/>
          <w:sz w:val="24"/>
          <w:szCs w:val="24"/>
          <w:lang w:val="en-US"/>
        </w:rPr>
        <w:t xml:space="preserve">prevalence </w:t>
      </w:r>
      <w:r w:rsidR="00263CBA" w:rsidRPr="0065408A">
        <w:rPr>
          <w:rFonts w:ascii="Arial" w:hAnsi="Arial" w:cs="Arial"/>
          <w:sz w:val="24"/>
          <w:szCs w:val="24"/>
          <w:lang w:val="en-US"/>
        </w:rPr>
        <w:t xml:space="preserve">is </w:t>
      </w:r>
      <w:r w:rsidRPr="0065408A">
        <w:rPr>
          <w:rFonts w:ascii="Arial" w:hAnsi="Arial" w:cs="Arial"/>
          <w:sz w:val="24"/>
          <w:szCs w:val="24"/>
          <w:lang w:val="en-US"/>
        </w:rPr>
        <w:t xml:space="preserve">currently </w:t>
      </w:r>
      <w:r w:rsidR="00263CBA" w:rsidRPr="0065408A">
        <w:rPr>
          <w:rFonts w:ascii="Arial" w:hAnsi="Arial" w:cs="Arial"/>
          <w:sz w:val="24"/>
          <w:szCs w:val="24"/>
          <w:lang w:val="en-US"/>
        </w:rPr>
        <w:t>a</w:t>
      </w:r>
      <w:r w:rsidRPr="0065408A">
        <w:rPr>
          <w:rFonts w:ascii="Arial" w:hAnsi="Arial" w:cs="Arial"/>
          <w:sz w:val="24"/>
          <w:szCs w:val="24"/>
          <w:lang w:val="en-US"/>
        </w:rPr>
        <w:t xml:space="preserve"> global public health problem of epidemic proportions in all ages. At the same time, population ageing </w:t>
      </w:r>
      <w:r w:rsidR="000A6ACE" w:rsidRPr="0065408A">
        <w:rPr>
          <w:rFonts w:ascii="Arial" w:hAnsi="Arial" w:cs="Arial"/>
          <w:sz w:val="24"/>
          <w:szCs w:val="24"/>
          <w:lang w:val="en-US"/>
        </w:rPr>
        <w:t xml:space="preserve">will </w:t>
      </w:r>
      <w:r w:rsidRPr="0065408A">
        <w:rPr>
          <w:rFonts w:ascii="Arial" w:hAnsi="Arial" w:cs="Arial"/>
          <w:sz w:val="24"/>
          <w:szCs w:val="24"/>
          <w:lang w:val="en-US"/>
        </w:rPr>
        <w:t xml:space="preserve">double the </w:t>
      </w:r>
      <w:r w:rsidR="00B24F6B" w:rsidRPr="0065408A">
        <w:rPr>
          <w:rFonts w:ascii="Arial" w:hAnsi="Arial" w:cs="Arial"/>
          <w:sz w:val="24"/>
          <w:szCs w:val="24"/>
          <w:lang w:val="en-US"/>
        </w:rPr>
        <w:t>number of persons</w:t>
      </w:r>
      <w:r w:rsidR="00373F75" w:rsidRPr="0065408A">
        <w:rPr>
          <w:rFonts w:ascii="Arial" w:hAnsi="Arial" w:cs="Arial"/>
          <w:sz w:val="24"/>
          <w:szCs w:val="24"/>
          <w:lang w:val="en-US"/>
        </w:rPr>
        <w:t xml:space="preserve"> aged 65 years and over</w:t>
      </w:r>
      <w:r w:rsidR="00FA4669" w:rsidRPr="0065408A">
        <w:rPr>
          <w:rFonts w:ascii="Arial" w:hAnsi="Arial" w:cs="Arial"/>
          <w:sz w:val="24"/>
          <w:szCs w:val="24"/>
          <w:lang w:val="en-US"/>
        </w:rPr>
        <w:t xml:space="preserve"> worldwide</w:t>
      </w:r>
      <w:r w:rsidRPr="0065408A">
        <w:rPr>
          <w:rFonts w:ascii="Arial" w:hAnsi="Arial" w:cs="Arial"/>
          <w:sz w:val="24"/>
          <w:szCs w:val="24"/>
          <w:lang w:val="en-US"/>
        </w:rPr>
        <w:t xml:space="preserve"> </w:t>
      </w:r>
      <w:r w:rsidR="00B24F6B" w:rsidRPr="0065408A">
        <w:rPr>
          <w:rFonts w:ascii="Arial" w:hAnsi="Arial" w:cs="Arial"/>
          <w:sz w:val="24"/>
          <w:szCs w:val="24"/>
          <w:lang w:val="en-US"/>
        </w:rPr>
        <w:t>i</w:t>
      </w:r>
      <w:r w:rsidR="00373F75" w:rsidRPr="0065408A">
        <w:rPr>
          <w:rFonts w:ascii="Arial" w:hAnsi="Arial" w:cs="Arial"/>
          <w:sz w:val="24"/>
          <w:szCs w:val="24"/>
          <w:lang w:val="en-US"/>
        </w:rPr>
        <w:t>n the next three decades, reaching 1.5 billion in 2050</w:t>
      </w:r>
      <w:r w:rsidR="00DE2035" w:rsidRPr="0065408A">
        <w:rPr>
          <w:rFonts w:ascii="Arial" w:hAnsi="Arial" w:cs="Arial"/>
          <w:sz w:val="24"/>
          <w:szCs w:val="24"/>
          <w:lang w:val="en-US"/>
        </w:rPr>
        <w:t xml:space="preserve"> </w:t>
      </w:r>
      <w:r w:rsidR="00DE2035" w:rsidRPr="0065408A">
        <w:rPr>
          <w:rStyle w:val="selectable"/>
          <w:rFonts w:ascii="Arial" w:hAnsi="Arial" w:cs="Arial"/>
          <w:sz w:val="24"/>
          <w:szCs w:val="24"/>
          <w:lang w:val="en-US"/>
        </w:rPr>
        <w:t>(1),</w:t>
      </w:r>
      <w:r w:rsidR="000A6ACE" w:rsidRPr="0065408A">
        <w:rPr>
          <w:rStyle w:val="selectable"/>
          <w:rFonts w:ascii="Arial" w:hAnsi="Arial" w:cs="Arial"/>
          <w:sz w:val="24"/>
          <w:szCs w:val="24"/>
          <w:vertAlign w:val="superscript"/>
          <w:lang w:val="en-US"/>
        </w:rPr>
        <w:t xml:space="preserve"> </w:t>
      </w:r>
      <w:r w:rsidR="000A6ACE" w:rsidRPr="0065408A">
        <w:rPr>
          <w:rStyle w:val="selectable"/>
          <w:rFonts w:ascii="Arial" w:hAnsi="Arial" w:cs="Arial"/>
          <w:sz w:val="24"/>
          <w:szCs w:val="24"/>
          <w:lang w:val="en-US"/>
        </w:rPr>
        <w:t xml:space="preserve">many of whom will be physically frail and disabled from </w:t>
      </w:r>
      <w:r w:rsidR="001633D3" w:rsidRPr="0065408A">
        <w:rPr>
          <w:rStyle w:val="selectable"/>
          <w:rFonts w:ascii="Arial" w:hAnsi="Arial" w:cs="Arial"/>
          <w:sz w:val="24"/>
          <w:szCs w:val="24"/>
          <w:lang w:val="en-US"/>
        </w:rPr>
        <w:t xml:space="preserve">the </w:t>
      </w:r>
      <w:r w:rsidR="000A6ACE" w:rsidRPr="0065408A">
        <w:rPr>
          <w:rStyle w:val="selectable"/>
          <w:rFonts w:ascii="Arial" w:hAnsi="Arial" w:cs="Arial"/>
          <w:sz w:val="24"/>
          <w:szCs w:val="24"/>
          <w:lang w:val="en-US"/>
        </w:rPr>
        <w:t>progressive loss of muscle mass and function (sarcopenia)</w:t>
      </w:r>
      <w:r w:rsidR="00DE2035" w:rsidRPr="0065408A">
        <w:rPr>
          <w:rStyle w:val="selectable"/>
          <w:rFonts w:ascii="Arial" w:hAnsi="Arial" w:cs="Arial"/>
          <w:sz w:val="24"/>
          <w:szCs w:val="24"/>
          <w:lang w:val="en-US"/>
        </w:rPr>
        <w:t xml:space="preserve"> (2)</w:t>
      </w:r>
      <w:r w:rsidR="001633D3" w:rsidRPr="0065408A">
        <w:rPr>
          <w:rStyle w:val="selectable"/>
          <w:rFonts w:ascii="Arial" w:hAnsi="Arial" w:cs="Arial"/>
          <w:sz w:val="24"/>
          <w:szCs w:val="24"/>
          <w:lang w:val="en-US"/>
        </w:rPr>
        <w:t xml:space="preserve">. </w:t>
      </w:r>
      <w:r w:rsidR="00237985" w:rsidRPr="0065408A">
        <w:rPr>
          <w:rFonts w:ascii="Arial" w:hAnsi="Arial" w:cs="Arial"/>
          <w:bCs/>
          <w:sz w:val="24"/>
          <w:szCs w:val="24"/>
          <w:lang w:val="en-US"/>
        </w:rPr>
        <w:t>O</w:t>
      </w:r>
      <w:r w:rsidR="00FD0225" w:rsidRPr="0065408A">
        <w:rPr>
          <w:rFonts w:ascii="Arial" w:hAnsi="Arial" w:cs="Arial"/>
          <w:bCs/>
          <w:sz w:val="24"/>
          <w:szCs w:val="24"/>
          <w:lang w:val="en-US"/>
        </w:rPr>
        <w:t>besity, the excessive accumulation of body fat, is an important factor in the development of metabolic syndrome and cardiovascular disease</w:t>
      </w:r>
      <w:r w:rsidR="00DE2035" w:rsidRPr="0065408A">
        <w:rPr>
          <w:rFonts w:ascii="Arial" w:hAnsi="Arial" w:cs="Arial"/>
          <w:bCs/>
          <w:sz w:val="24"/>
          <w:szCs w:val="24"/>
          <w:lang w:val="en-US"/>
        </w:rPr>
        <w:t xml:space="preserve"> (3),</w:t>
      </w:r>
      <w:r w:rsidR="00FD0225" w:rsidRPr="0065408A">
        <w:rPr>
          <w:rFonts w:ascii="Arial" w:hAnsi="Arial" w:cs="Arial"/>
          <w:bCs/>
          <w:sz w:val="24"/>
          <w:szCs w:val="24"/>
          <w:vertAlign w:val="superscript"/>
          <w:lang w:val="en-US"/>
        </w:rPr>
        <w:t xml:space="preserve"> </w:t>
      </w:r>
      <w:r w:rsidR="001633D3" w:rsidRPr="0065408A">
        <w:rPr>
          <w:rFonts w:ascii="Arial" w:hAnsi="Arial" w:cs="Arial"/>
          <w:bCs/>
          <w:sz w:val="24"/>
          <w:szCs w:val="24"/>
          <w:lang w:val="en-US"/>
        </w:rPr>
        <w:t>and</w:t>
      </w:r>
      <w:r w:rsidR="000A6ACE" w:rsidRPr="0065408A">
        <w:rPr>
          <w:rFonts w:ascii="Arial" w:hAnsi="Arial" w:cs="Arial"/>
          <w:bCs/>
          <w:sz w:val="24"/>
          <w:szCs w:val="24"/>
          <w:lang w:val="en-US"/>
        </w:rPr>
        <w:t xml:space="preserve"> is also an important contributing cause of muscle loss. </w:t>
      </w:r>
      <w:r w:rsidR="00263CBA" w:rsidRPr="0065408A">
        <w:rPr>
          <w:rFonts w:ascii="Arial" w:hAnsi="Arial" w:cs="Arial"/>
          <w:sz w:val="24"/>
          <w:szCs w:val="24"/>
          <w:lang w:val="en-US"/>
        </w:rPr>
        <w:t>T</w:t>
      </w:r>
      <w:r w:rsidR="00FB6258" w:rsidRPr="0065408A">
        <w:rPr>
          <w:rFonts w:ascii="Arial" w:hAnsi="Arial" w:cs="Arial"/>
          <w:sz w:val="24"/>
          <w:szCs w:val="24"/>
          <w:lang w:val="en-US"/>
        </w:rPr>
        <w:t>he two conditions</w:t>
      </w:r>
      <w:r w:rsidR="00FD0225" w:rsidRPr="0065408A">
        <w:rPr>
          <w:rFonts w:ascii="Arial" w:hAnsi="Arial" w:cs="Arial"/>
          <w:sz w:val="24"/>
          <w:szCs w:val="24"/>
          <w:lang w:val="en-US"/>
        </w:rPr>
        <w:t xml:space="preserve"> have overlapping causes and feedback mechanisms that are interconnected and mutually-aggravating</w:t>
      </w:r>
      <w:r w:rsidR="00DE2035" w:rsidRPr="0065408A">
        <w:rPr>
          <w:rFonts w:ascii="Arial" w:hAnsi="Arial" w:cs="Arial"/>
          <w:sz w:val="24"/>
          <w:szCs w:val="24"/>
          <w:lang w:val="en-US"/>
        </w:rPr>
        <w:t xml:space="preserve"> (3). </w:t>
      </w:r>
      <w:r w:rsidR="00664AAA" w:rsidRPr="0065408A">
        <w:rPr>
          <w:rFonts w:ascii="Arial" w:hAnsi="Arial" w:cs="Arial"/>
          <w:sz w:val="24"/>
          <w:szCs w:val="24"/>
          <w:lang w:val="en-US"/>
        </w:rPr>
        <w:t>C</w:t>
      </w:r>
      <w:r w:rsidR="00FB6258" w:rsidRPr="0065408A">
        <w:rPr>
          <w:rFonts w:ascii="Arial" w:hAnsi="Arial" w:cs="Arial"/>
          <w:sz w:val="24"/>
          <w:szCs w:val="24"/>
          <w:lang w:val="en-US"/>
        </w:rPr>
        <w:t>oexistence of both, a condition known as sarcopenic obesity</w:t>
      </w:r>
      <w:r w:rsidR="001D49BD" w:rsidRPr="0065408A">
        <w:rPr>
          <w:rFonts w:ascii="Arial" w:hAnsi="Arial" w:cs="Arial"/>
          <w:sz w:val="24"/>
          <w:szCs w:val="24"/>
          <w:lang w:val="en-US"/>
        </w:rPr>
        <w:t xml:space="preserve"> (SO)</w:t>
      </w:r>
      <w:r w:rsidR="00FB6258" w:rsidRPr="0065408A">
        <w:rPr>
          <w:rFonts w:ascii="Arial" w:hAnsi="Arial" w:cs="Arial"/>
          <w:sz w:val="24"/>
          <w:szCs w:val="24"/>
          <w:lang w:val="en-US"/>
        </w:rPr>
        <w:t xml:space="preserve">, has been shown to act synergistically to exacerbate metabolic impairment, disability, cardiovascular disease and mortality more </w:t>
      </w:r>
      <w:r w:rsidR="00EA6CF0" w:rsidRPr="0065408A">
        <w:rPr>
          <w:rFonts w:ascii="Arial" w:hAnsi="Arial" w:cs="Arial"/>
          <w:sz w:val="24"/>
          <w:szCs w:val="24"/>
          <w:lang w:val="en-US"/>
        </w:rPr>
        <w:t xml:space="preserve">so </w:t>
      </w:r>
      <w:r w:rsidR="00FB6258" w:rsidRPr="0065408A">
        <w:rPr>
          <w:rFonts w:ascii="Arial" w:hAnsi="Arial" w:cs="Arial"/>
          <w:sz w:val="24"/>
          <w:szCs w:val="24"/>
          <w:lang w:val="en-US"/>
        </w:rPr>
        <w:t>than either condition alone</w:t>
      </w:r>
      <w:r w:rsidR="00DE2035" w:rsidRPr="0065408A">
        <w:rPr>
          <w:rFonts w:ascii="Arial" w:hAnsi="Arial" w:cs="Arial"/>
          <w:sz w:val="24"/>
          <w:szCs w:val="24"/>
          <w:lang w:val="en-US"/>
        </w:rPr>
        <w:t xml:space="preserve"> (3,4).</w:t>
      </w:r>
      <w:r w:rsidR="00237985" w:rsidRPr="0065408A">
        <w:rPr>
          <w:rFonts w:ascii="Arial" w:hAnsi="Arial" w:cs="Arial"/>
          <w:sz w:val="24"/>
          <w:szCs w:val="24"/>
          <w:lang w:val="en-US"/>
        </w:rPr>
        <w:t xml:space="preserve"> </w:t>
      </w:r>
    </w:p>
    <w:p w14:paraId="62CA18D0" w14:textId="77777777" w:rsidR="0095064A" w:rsidRPr="0065408A" w:rsidRDefault="0095064A" w:rsidP="00830047">
      <w:pPr>
        <w:spacing w:after="0" w:line="480" w:lineRule="auto"/>
        <w:rPr>
          <w:rFonts w:ascii="Arial" w:hAnsi="Arial" w:cs="Arial"/>
          <w:sz w:val="24"/>
          <w:szCs w:val="24"/>
          <w:lang w:val="en-US"/>
        </w:rPr>
      </w:pPr>
    </w:p>
    <w:p w14:paraId="1A0D8AF8" w14:textId="1B337C4F" w:rsidR="003E5674" w:rsidRPr="0065408A" w:rsidRDefault="00833989" w:rsidP="00830047">
      <w:pPr>
        <w:spacing w:after="0" w:line="480" w:lineRule="auto"/>
        <w:rPr>
          <w:rFonts w:ascii="Arial" w:hAnsi="Arial" w:cs="Arial"/>
          <w:sz w:val="24"/>
          <w:szCs w:val="24"/>
          <w:lang w:val="en-US"/>
        </w:rPr>
      </w:pPr>
      <w:r w:rsidRPr="0065408A">
        <w:rPr>
          <w:rFonts w:ascii="Arial" w:hAnsi="Arial" w:cs="Arial"/>
          <w:sz w:val="24"/>
          <w:szCs w:val="24"/>
          <w:lang w:val="en-US"/>
        </w:rPr>
        <w:t>Although the</w:t>
      </w:r>
      <w:r w:rsidR="00760286" w:rsidRPr="0065408A">
        <w:rPr>
          <w:rFonts w:ascii="Arial" w:hAnsi="Arial" w:cs="Arial"/>
          <w:sz w:val="24"/>
          <w:szCs w:val="24"/>
          <w:lang w:val="en-US"/>
        </w:rPr>
        <w:t xml:space="preserve"> diagnosis of sarcopenia has </w:t>
      </w:r>
      <w:r w:rsidR="00212E4F" w:rsidRPr="0065408A">
        <w:rPr>
          <w:rFonts w:ascii="Arial" w:hAnsi="Arial" w:cs="Arial"/>
          <w:sz w:val="24"/>
          <w:szCs w:val="24"/>
          <w:lang w:val="en-US"/>
        </w:rPr>
        <w:t xml:space="preserve">been </w:t>
      </w:r>
      <w:r w:rsidR="00760286" w:rsidRPr="0065408A">
        <w:rPr>
          <w:rFonts w:ascii="Arial" w:hAnsi="Arial" w:cs="Arial"/>
          <w:sz w:val="24"/>
          <w:szCs w:val="24"/>
          <w:lang w:val="en-US"/>
        </w:rPr>
        <w:t>increas</w:t>
      </w:r>
      <w:r w:rsidR="00212E4F" w:rsidRPr="0065408A">
        <w:rPr>
          <w:rFonts w:ascii="Arial" w:hAnsi="Arial" w:cs="Arial"/>
          <w:sz w:val="24"/>
          <w:szCs w:val="24"/>
          <w:lang w:val="en-US"/>
        </w:rPr>
        <w:t xml:space="preserve">ingly </w:t>
      </w:r>
      <w:r w:rsidR="00760286" w:rsidRPr="0065408A">
        <w:rPr>
          <w:rFonts w:ascii="Arial" w:hAnsi="Arial" w:cs="Arial"/>
          <w:sz w:val="24"/>
          <w:szCs w:val="24"/>
          <w:lang w:val="en-US"/>
        </w:rPr>
        <w:t>harmoniz</w:t>
      </w:r>
      <w:r w:rsidR="00212E4F" w:rsidRPr="0065408A">
        <w:rPr>
          <w:rFonts w:ascii="Arial" w:hAnsi="Arial" w:cs="Arial"/>
          <w:sz w:val="24"/>
          <w:szCs w:val="24"/>
          <w:lang w:val="en-US"/>
        </w:rPr>
        <w:t xml:space="preserve">ed by consensus </w:t>
      </w:r>
      <w:r w:rsidR="009D5E82" w:rsidRPr="0065408A">
        <w:rPr>
          <w:rFonts w:ascii="Arial" w:hAnsi="Arial" w:cs="Arial"/>
          <w:sz w:val="24"/>
          <w:szCs w:val="24"/>
          <w:lang w:val="en-US"/>
        </w:rPr>
        <w:t>w</w:t>
      </w:r>
      <w:r w:rsidR="00760286" w:rsidRPr="0065408A">
        <w:rPr>
          <w:rFonts w:ascii="Arial" w:hAnsi="Arial" w:cs="Arial"/>
          <w:sz w:val="24"/>
          <w:szCs w:val="24"/>
          <w:lang w:val="en-US"/>
        </w:rPr>
        <w:t xml:space="preserve">orking groups such as the </w:t>
      </w:r>
      <w:bookmarkStart w:id="0" w:name="_Hlk37684568"/>
      <w:r w:rsidR="00760286" w:rsidRPr="0065408A">
        <w:rPr>
          <w:rFonts w:ascii="Arial" w:hAnsi="Arial" w:cs="Arial"/>
          <w:sz w:val="24"/>
          <w:szCs w:val="24"/>
          <w:lang w:val="en-US"/>
        </w:rPr>
        <w:t>Asian Working Group for Sarcopenia (AWGS)</w:t>
      </w:r>
      <w:r w:rsidR="00DE2035" w:rsidRPr="0065408A">
        <w:rPr>
          <w:rFonts w:ascii="Arial" w:hAnsi="Arial" w:cs="Arial"/>
          <w:sz w:val="24"/>
          <w:szCs w:val="24"/>
          <w:lang w:val="en-US"/>
        </w:rPr>
        <w:t xml:space="preserve"> </w:t>
      </w:r>
      <w:bookmarkEnd w:id="0"/>
      <w:r w:rsidR="00DE2035" w:rsidRPr="0065408A">
        <w:rPr>
          <w:rFonts w:ascii="Arial" w:hAnsi="Arial" w:cs="Arial"/>
          <w:sz w:val="24"/>
          <w:szCs w:val="24"/>
          <w:lang w:val="en-US"/>
        </w:rPr>
        <w:t>(2),</w:t>
      </w:r>
      <w:r w:rsidR="00760286" w:rsidRPr="0065408A">
        <w:rPr>
          <w:rFonts w:ascii="Arial" w:hAnsi="Arial" w:cs="Arial"/>
          <w:sz w:val="24"/>
          <w:szCs w:val="24"/>
          <w:lang w:val="en-US"/>
        </w:rPr>
        <w:t xml:space="preserve"> the lack of a </w:t>
      </w:r>
      <w:r w:rsidR="009D5E82" w:rsidRPr="0065408A">
        <w:rPr>
          <w:rFonts w:ascii="Arial" w:hAnsi="Arial" w:cs="Arial"/>
          <w:sz w:val="24"/>
          <w:szCs w:val="24"/>
          <w:lang w:val="en-US"/>
        </w:rPr>
        <w:t xml:space="preserve">uniform </w:t>
      </w:r>
      <w:r w:rsidR="00760286" w:rsidRPr="0065408A">
        <w:rPr>
          <w:rFonts w:ascii="Arial" w:hAnsi="Arial" w:cs="Arial"/>
          <w:sz w:val="24"/>
          <w:szCs w:val="24"/>
          <w:lang w:val="en-US"/>
        </w:rPr>
        <w:t xml:space="preserve">obesity definition in the context of SO has led to great variation in the methods and cut-offs applied to define obesity, resulting in marked variability in reported SO prevalence </w:t>
      </w:r>
      <w:r w:rsidR="009D5E82" w:rsidRPr="0065408A">
        <w:rPr>
          <w:rFonts w:ascii="Arial" w:hAnsi="Arial" w:cs="Arial"/>
          <w:sz w:val="24"/>
          <w:szCs w:val="24"/>
          <w:lang w:val="en-US"/>
        </w:rPr>
        <w:t xml:space="preserve">as well as </w:t>
      </w:r>
      <w:r w:rsidR="00760286" w:rsidRPr="0065408A">
        <w:rPr>
          <w:rFonts w:ascii="Arial" w:hAnsi="Arial" w:cs="Arial"/>
          <w:sz w:val="24"/>
          <w:szCs w:val="24"/>
          <w:lang w:val="en-US"/>
        </w:rPr>
        <w:t xml:space="preserve">conflicting data on </w:t>
      </w:r>
      <w:r w:rsidR="009D5E82" w:rsidRPr="0065408A">
        <w:rPr>
          <w:rFonts w:ascii="Arial" w:hAnsi="Arial" w:cs="Arial"/>
          <w:sz w:val="24"/>
          <w:szCs w:val="24"/>
          <w:lang w:val="en-US"/>
        </w:rPr>
        <w:t xml:space="preserve">observed </w:t>
      </w:r>
      <w:r w:rsidR="00760286" w:rsidRPr="0065408A">
        <w:rPr>
          <w:rFonts w:ascii="Arial" w:hAnsi="Arial" w:cs="Arial"/>
          <w:sz w:val="24"/>
          <w:szCs w:val="24"/>
          <w:lang w:val="en-US"/>
        </w:rPr>
        <w:t xml:space="preserve">adverse health </w:t>
      </w:r>
      <w:r w:rsidR="00641419" w:rsidRPr="0065408A">
        <w:rPr>
          <w:rFonts w:ascii="Arial" w:hAnsi="Arial" w:cs="Arial"/>
          <w:sz w:val="24"/>
          <w:szCs w:val="24"/>
          <w:lang w:val="en-US"/>
        </w:rPr>
        <w:t>outcomes</w:t>
      </w:r>
      <w:r w:rsidR="00DE2035" w:rsidRPr="0065408A">
        <w:rPr>
          <w:rFonts w:ascii="Arial" w:hAnsi="Arial" w:cs="Arial"/>
          <w:sz w:val="24"/>
          <w:szCs w:val="24"/>
          <w:lang w:val="en-US"/>
        </w:rPr>
        <w:t xml:space="preserve"> (5).</w:t>
      </w:r>
      <w:r w:rsidR="009C5C9A" w:rsidRPr="0065408A">
        <w:rPr>
          <w:rFonts w:ascii="Arial" w:hAnsi="Arial" w:cs="Arial"/>
          <w:sz w:val="24"/>
          <w:szCs w:val="24"/>
          <w:lang w:val="en-US"/>
        </w:rPr>
        <w:t xml:space="preserve"> </w:t>
      </w:r>
      <w:r w:rsidRPr="0065408A">
        <w:rPr>
          <w:rFonts w:ascii="Arial" w:hAnsi="Arial" w:cs="Arial"/>
          <w:sz w:val="24"/>
          <w:szCs w:val="24"/>
          <w:lang w:val="en-US"/>
        </w:rPr>
        <w:t>Obesity</w:t>
      </w:r>
      <w:r w:rsidR="003E5674" w:rsidRPr="0065408A">
        <w:rPr>
          <w:rFonts w:ascii="Arial" w:hAnsi="Arial" w:cs="Arial"/>
          <w:sz w:val="24"/>
          <w:szCs w:val="24"/>
          <w:lang w:val="en-US"/>
        </w:rPr>
        <w:t xml:space="preserve"> is officially considered a disease that requires clinical treatment, </w:t>
      </w:r>
      <w:r w:rsidRPr="0065408A">
        <w:rPr>
          <w:rFonts w:ascii="Arial" w:hAnsi="Arial" w:cs="Arial"/>
          <w:sz w:val="24"/>
          <w:szCs w:val="24"/>
          <w:lang w:val="en-US"/>
        </w:rPr>
        <w:t xml:space="preserve">however, </w:t>
      </w:r>
      <w:r w:rsidR="003E5674" w:rsidRPr="0065408A">
        <w:rPr>
          <w:rFonts w:ascii="Arial" w:hAnsi="Arial" w:cs="Arial"/>
          <w:sz w:val="24"/>
          <w:szCs w:val="24"/>
          <w:lang w:val="en-US"/>
        </w:rPr>
        <w:t xml:space="preserve">there </w:t>
      </w:r>
      <w:r w:rsidR="00AD5415" w:rsidRPr="0065408A">
        <w:rPr>
          <w:rFonts w:ascii="Arial" w:hAnsi="Arial" w:cs="Arial"/>
          <w:sz w:val="24"/>
          <w:szCs w:val="24"/>
          <w:lang w:val="en-US"/>
        </w:rPr>
        <w:t>are</w:t>
      </w:r>
      <w:r w:rsidR="006D0653" w:rsidRPr="0065408A">
        <w:rPr>
          <w:rFonts w:ascii="Arial" w:hAnsi="Arial" w:cs="Arial"/>
          <w:sz w:val="24"/>
          <w:szCs w:val="24"/>
          <w:lang w:val="en-US"/>
        </w:rPr>
        <w:t xml:space="preserve"> currently </w:t>
      </w:r>
      <w:r w:rsidR="003E5674" w:rsidRPr="0065408A">
        <w:rPr>
          <w:rFonts w:ascii="Arial" w:hAnsi="Arial" w:cs="Arial"/>
          <w:sz w:val="24"/>
          <w:szCs w:val="24"/>
          <w:lang w:val="en-US"/>
        </w:rPr>
        <w:t xml:space="preserve">no universally-accepted </w:t>
      </w:r>
      <w:r w:rsidR="00AB7207" w:rsidRPr="0065408A">
        <w:rPr>
          <w:rFonts w:ascii="Arial" w:hAnsi="Arial" w:cs="Arial"/>
          <w:sz w:val="24"/>
          <w:szCs w:val="24"/>
          <w:lang w:val="en-US"/>
        </w:rPr>
        <w:t>definitions</w:t>
      </w:r>
      <w:r w:rsidR="003E5674" w:rsidRPr="0065408A">
        <w:rPr>
          <w:rFonts w:ascii="Arial" w:hAnsi="Arial" w:cs="Arial"/>
          <w:sz w:val="24"/>
          <w:szCs w:val="24"/>
          <w:lang w:val="en-US"/>
        </w:rPr>
        <w:t xml:space="preserve"> for</w:t>
      </w:r>
      <w:r w:rsidRPr="0065408A">
        <w:rPr>
          <w:rFonts w:ascii="Arial" w:hAnsi="Arial" w:cs="Arial"/>
          <w:sz w:val="24"/>
          <w:szCs w:val="24"/>
          <w:lang w:val="en-US"/>
        </w:rPr>
        <w:t xml:space="preserve"> it</w:t>
      </w:r>
      <w:bookmarkStart w:id="1" w:name="_Hlk37234447"/>
      <w:r w:rsidR="00DE2035" w:rsidRPr="0065408A">
        <w:rPr>
          <w:rFonts w:ascii="Arial" w:hAnsi="Arial" w:cs="Arial"/>
          <w:sz w:val="24"/>
          <w:szCs w:val="24"/>
          <w:lang w:val="en-US"/>
        </w:rPr>
        <w:t xml:space="preserve"> (3). </w:t>
      </w:r>
      <w:r w:rsidR="000A6969" w:rsidRPr="0065408A">
        <w:rPr>
          <w:rFonts w:ascii="Arial" w:hAnsi="Arial" w:cs="Arial"/>
          <w:sz w:val="24"/>
          <w:szCs w:val="24"/>
          <w:lang w:val="en-US"/>
        </w:rPr>
        <w:t>C</w:t>
      </w:r>
      <w:r w:rsidR="00E817B2" w:rsidRPr="0065408A">
        <w:rPr>
          <w:rFonts w:ascii="Arial" w:hAnsi="Arial" w:cs="Arial"/>
          <w:sz w:val="24"/>
          <w:szCs w:val="24"/>
          <w:lang w:val="en-US"/>
        </w:rPr>
        <w:t>ommonly</w:t>
      </w:r>
      <w:r w:rsidR="001633D3" w:rsidRPr="0065408A">
        <w:rPr>
          <w:rFonts w:ascii="Arial" w:hAnsi="Arial" w:cs="Arial"/>
          <w:sz w:val="24"/>
          <w:szCs w:val="24"/>
          <w:lang w:val="en-US"/>
        </w:rPr>
        <w:t xml:space="preserve"> </w:t>
      </w:r>
      <w:r w:rsidR="00E817B2" w:rsidRPr="0065408A">
        <w:rPr>
          <w:rFonts w:ascii="Arial" w:hAnsi="Arial" w:cs="Arial"/>
          <w:sz w:val="24"/>
          <w:szCs w:val="24"/>
          <w:lang w:val="en-US"/>
        </w:rPr>
        <w:t xml:space="preserve">used </w:t>
      </w:r>
      <w:r w:rsidR="000A6969" w:rsidRPr="0065408A">
        <w:rPr>
          <w:rFonts w:ascii="Arial" w:hAnsi="Arial" w:cs="Arial"/>
          <w:sz w:val="24"/>
          <w:szCs w:val="24"/>
          <w:lang w:val="en-US"/>
        </w:rPr>
        <w:t>measure</w:t>
      </w:r>
      <w:r w:rsidR="00E817B2" w:rsidRPr="0065408A">
        <w:rPr>
          <w:rFonts w:ascii="Arial" w:hAnsi="Arial" w:cs="Arial"/>
          <w:sz w:val="24"/>
          <w:szCs w:val="24"/>
          <w:lang w:val="en-US"/>
        </w:rPr>
        <w:t xml:space="preserve">s </w:t>
      </w:r>
      <w:r w:rsidR="00903AE2" w:rsidRPr="0065408A">
        <w:rPr>
          <w:rFonts w:ascii="Arial" w:hAnsi="Arial" w:cs="Arial"/>
          <w:sz w:val="24"/>
          <w:szCs w:val="24"/>
          <w:lang w:val="en-US"/>
        </w:rPr>
        <w:t>includ</w:t>
      </w:r>
      <w:r w:rsidR="005D3E2F" w:rsidRPr="0065408A">
        <w:rPr>
          <w:rFonts w:ascii="Arial" w:hAnsi="Arial" w:cs="Arial"/>
          <w:sz w:val="24"/>
          <w:szCs w:val="24"/>
          <w:lang w:val="en-US"/>
        </w:rPr>
        <w:t xml:space="preserve">e </w:t>
      </w:r>
      <w:r w:rsidR="00E817B2" w:rsidRPr="0065408A">
        <w:rPr>
          <w:rFonts w:ascii="Arial" w:hAnsi="Arial" w:cs="Arial"/>
          <w:sz w:val="24"/>
          <w:szCs w:val="24"/>
          <w:lang w:val="en-US"/>
        </w:rPr>
        <w:t xml:space="preserve">the body mass index (BMI), </w:t>
      </w:r>
      <w:bookmarkStart w:id="2" w:name="_Hlk37684581"/>
      <w:r w:rsidR="00E817B2" w:rsidRPr="0065408A">
        <w:rPr>
          <w:rFonts w:ascii="Arial" w:hAnsi="Arial" w:cs="Arial"/>
          <w:sz w:val="24"/>
          <w:szCs w:val="24"/>
          <w:lang w:val="en-US"/>
        </w:rPr>
        <w:t xml:space="preserve">waist circumference (WC), </w:t>
      </w:r>
      <w:r w:rsidR="00DB3054" w:rsidRPr="0065408A">
        <w:rPr>
          <w:rFonts w:ascii="Arial" w:hAnsi="Arial" w:cs="Arial"/>
          <w:sz w:val="24"/>
          <w:szCs w:val="24"/>
          <w:lang w:val="en-US"/>
        </w:rPr>
        <w:t xml:space="preserve">percentage </w:t>
      </w:r>
      <w:r w:rsidR="00E817B2" w:rsidRPr="0065408A">
        <w:rPr>
          <w:rFonts w:ascii="Arial" w:hAnsi="Arial" w:cs="Arial"/>
          <w:sz w:val="24"/>
          <w:szCs w:val="24"/>
          <w:lang w:val="en-US"/>
        </w:rPr>
        <w:t>body fat (</w:t>
      </w:r>
      <w:r w:rsidR="00DB3054" w:rsidRPr="0065408A">
        <w:rPr>
          <w:rFonts w:ascii="Arial" w:hAnsi="Arial" w:cs="Arial"/>
          <w:sz w:val="24"/>
          <w:szCs w:val="24"/>
          <w:lang w:val="en-US"/>
        </w:rPr>
        <w:t>PBF</w:t>
      </w:r>
      <w:r w:rsidR="00E817B2" w:rsidRPr="0065408A">
        <w:rPr>
          <w:rFonts w:ascii="Arial" w:hAnsi="Arial" w:cs="Arial"/>
          <w:sz w:val="24"/>
          <w:szCs w:val="24"/>
          <w:lang w:val="en-US"/>
        </w:rPr>
        <w:t>), fat mass index (FMI) and fat mass to fat-free mass (FM/FFM) ratio</w:t>
      </w:r>
      <w:r w:rsidR="005D3E2F" w:rsidRPr="0065408A">
        <w:rPr>
          <w:rFonts w:ascii="Arial" w:hAnsi="Arial" w:cs="Arial"/>
          <w:sz w:val="24"/>
          <w:szCs w:val="24"/>
          <w:lang w:val="en-US"/>
        </w:rPr>
        <w:t xml:space="preserve">. </w:t>
      </w:r>
      <w:bookmarkEnd w:id="2"/>
      <w:r w:rsidR="00903AE2" w:rsidRPr="0065408A">
        <w:rPr>
          <w:rFonts w:ascii="Arial" w:hAnsi="Arial" w:cs="Arial"/>
          <w:sz w:val="24"/>
          <w:szCs w:val="24"/>
          <w:lang w:val="en-US"/>
        </w:rPr>
        <w:t xml:space="preserve">BMI provides a good indication of disease risk, </w:t>
      </w:r>
      <w:r w:rsidR="001633D3" w:rsidRPr="0065408A">
        <w:rPr>
          <w:rFonts w:ascii="Arial" w:hAnsi="Arial" w:cs="Arial"/>
          <w:sz w:val="24"/>
          <w:szCs w:val="24"/>
          <w:lang w:val="en-US"/>
        </w:rPr>
        <w:t xml:space="preserve">but </w:t>
      </w:r>
      <w:r w:rsidR="000A6969" w:rsidRPr="0065408A">
        <w:rPr>
          <w:rFonts w:ascii="Arial" w:hAnsi="Arial" w:cs="Arial"/>
          <w:sz w:val="24"/>
          <w:szCs w:val="24"/>
          <w:lang w:val="en-US"/>
        </w:rPr>
        <w:lastRenderedPageBreak/>
        <w:t>does not</w:t>
      </w:r>
      <w:r w:rsidR="00903AE2" w:rsidRPr="0065408A">
        <w:rPr>
          <w:rFonts w:ascii="Arial" w:hAnsi="Arial" w:cs="Arial"/>
          <w:sz w:val="24"/>
          <w:szCs w:val="24"/>
          <w:lang w:val="en-US"/>
        </w:rPr>
        <w:t xml:space="preserve"> distinguish between fat and fat-free mass, thus making its clinical value </w:t>
      </w:r>
      <w:r w:rsidR="00516FD2" w:rsidRPr="0065408A">
        <w:rPr>
          <w:rFonts w:ascii="Arial" w:hAnsi="Arial" w:cs="Arial"/>
          <w:sz w:val="24"/>
          <w:szCs w:val="24"/>
          <w:lang w:val="en-US"/>
        </w:rPr>
        <w:t>questionable</w:t>
      </w:r>
      <w:r w:rsidR="00DE2035" w:rsidRPr="0065408A">
        <w:rPr>
          <w:rFonts w:ascii="Arial" w:hAnsi="Arial" w:cs="Arial"/>
          <w:sz w:val="24"/>
          <w:szCs w:val="24"/>
          <w:lang w:val="en-US"/>
        </w:rPr>
        <w:t xml:space="preserve"> (3,5,6). </w:t>
      </w:r>
      <w:r w:rsidR="00664AAA" w:rsidRPr="0065408A">
        <w:rPr>
          <w:rFonts w:ascii="Arial" w:hAnsi="Arial" w:cs="Arial"/>
          <w:sz w:val="24"/>
          <w:szCs w:val="24"/>
          <w:lang w:val="en-US"/>
        </w:rPr>
        <w:t>WC</w:t>
      </w:r>
      <w:r w:rsidR="005D3E2F" w:rsidRPr="0065408A">
        <w:rPr>
          <w:rFonts w:ascii="Arial" w:hAnsi="Arial" w:cs="Arial"/>
          <w:sz w:val="24"/>
          <w:szCs w:val="24"/>
          <w:lang w:val="en-US"/>
        </w:rPr>
        <w:t xml:space="preserve"> i</w:t>
      </w:r>
      <w:r w:rsidR="000A6969" w:rsidRPr="0065408A">
        <w:rPr>
          <w:rFonts w:ascii="Arial" w:hAnsi="Arial" w:cs="Arial"/>
          <w:sz w:val="24"/>
          <w:szCs w:val="24"/>
          <w:lang w:val="en-US"/>
        </w:rPr>
        <w:t>ndicates</w:t>
      </w:r>
      <w:r w:rsidR="00664AAA" w:rsidRPr="0065408A">
        <w:rPr>
          <w:rFonts w:ascii="Arial" w:hAnsi="Arial" w:cs="Arial"/>
          <w:sz w:val="24"/>
          <w:szCs w:val="24"/>
          <w:lang w:val="en-US"/>
        </w:rPr>
        <w:t xml:space="preserve"> central obesity and </w:t>
      </w:r>
      <w:r w:rsidR="005D3E2F" w:rsidRPr="0065408A">
        <w:rPr>
          <w:rFonts w:ascii="Arial" w:hAnsi="Arial" w:cs="Arial"/>
          <w:sz w:val="24"/>
          <w:szCs w:val="24"/>
          <w:lang w:val="en-US"/>
        </w:rPr>
        <w:t>serves as a</w:t>
      </w:r>
      <w:r w:rsidR="00664AAA" w:rsidRPr="0065408A">
        <w:rPr>
          <w:rFonts w:ascii="Arial" w:hAnsi="Arial" w:cs="Arial"/>
          <w:sz w:val="24"/>
          <w:szCs w:val="24"/>
          <w:lang w:val="en-US"/>
        </w:rPr>
        <w:t xml:space="preserve"> surrogate measure of visceral adiposity</w:t>
      </w:r>
      <w:r w:rsidR="00DE2035" w:rsidRPr="0065408A">
        <w:rPr>
          <w:rFonts w:ascii="Arial" w:hAnsi="Arial" w:cs="Arial"/>
          <w:sz w:val="24"/>
          <w:szCs w:val="24"/>
          <w:lang w:val="en-US"/>
        </w:rPr>
        <w:t xml:space="preserve"> (5-7),</w:t>
      </w:r>
      <w:r w:rsidR="00664AAA" w:rsidRPr="0065408A">
        <w:rPr>
          <w:rFonts w:ascii="Arial" w:hAnsi="Arial" w:cs="Arial"/>
          <w:sz w:val="24"/>
          <w:szCs w:val="24"/>
          <w:lang w:val="en-US"/>
        </w:rPr>
        <w:t xml:space="preserve"> </w:t>
      </w:r>
      <w:r w:rsidR="005D3E2F" w:rsidRPr="0065408A">
        <w:rPr>
          <w:rFonts w:ascii="Arial" w:hAnsi="Arial" w:cs="Arial"/>
          <w:sz w:val="24"/>
          <w:szCs w:val="24"/>
          <w:lang w:val="en-US"/>
        </w:rPr>
        <w:t xml:space="preserve">while </w:t>
      </w:r>
      <w:r w:rsidR="00DB3054" w:rsidRPr="0065408A">
        <w:rPr>
          <w:rFonts w:ascii="Arial" w:hAnsi="Arial" w:cs="Arial"/>
          <w:sz w:val="24"/>
          <w:szCs w:val="24"/>
          <w:lang w:val="en-US"/>
        </w:rPr>
        <w:t>PBF</w:t>
      </w:r>
      <w:r w:rsidR="006D0653" w:rsidRPr="0065408A">
        <w:rPr>
          <w:rFonts w:ascii="Arial" w:hAnsi="Arial" w:cs="Arial"/>
          <w:sz w:val="24"/>
          <w:szCs w:val="24"/>
          <w:lang w:val="en-US"/>
        </w:rPr>
        <w:t xml:space="preserve"> gives an objective indication of total body fat</w:t>
      </w:r>
      <w:r w:rsidR="005D3E2F" w:rsidRPr="0065408A">
        <w:rPr>
          <w:rFonts w:ascii="Arial" w:hAnsi="Arial" w:cs="Arial"/>
          <w:sz w:val="24"/>
          <w:szCs w:val="24"/>
          <w:lang w:val="en-US"/>
        </w:rPr>
        <w:t xml:space="preserve"> and its distribution</w:t>
      </w:r>
      <w:r w:rsidR="00DE2035" w:rsidRPr="0065408A">
        <w:rPr>
          <w:rFonts w:ascii="Arial" w:hAnsi="Arial" w:cs="Arial"/>
          <w:sz w:val="24"/>
          <w:szCs w:val="24"/>
          <w:lang w:val="en-US"/>
        </w:rPr>
        <w:t xml:space="preserve"> (5).</w:t>
      </w:r>
      <w:r w:rsidR="006D0653" w:rsidRPr="0065408A">
        <w:rPr>
          <w:rFonts w:ascii="Arial" w:hAnsi="Arial" w:cs="Arial"/>
          <w:sz w:val="24"/>
          <w:szCs w:val="24"/>
          <w:lang w:val="en-US"/>
        </w:rPr>
        <w:t xml:space="preserve"> </w:t>
      </w:r>
      <w:r w:rsidR="005D3E2F" w:rsidRPr="0065408A">
        <w:rPr>
          <w:rFonts w:ascii="Arial" w:hAnsi="Arial" w:cs="Arial"/>
          <w:sz w:val="24"/>
          <w:szCs w:val="24"/>
          <w:lang w:val="en-US"/>
        </w:rPr>
        <w:t>FM and FFM are the most frequently used adiposity indexes for SO classification</w:t>
      </w:r>
      <w:r w:rsidR="00DE2035" w:rsidRPr="0065408A">
        <w:rPr>
          <w:rFonts w:ascii="Arial" w:hAnsi="Arial" w:cs="Arial"/>
          <w:sz w:val="24"/>
          <w:szCs w:val="24"/>
          <w:lang w:val="en-US"/>
        </w:rPr>
        <w:t xml:space="preserve"> (7),</w:t>
      </w:r>
      <w:r w:rsidR="005D3E2F" w:rsidRPr="0065408A">
        <w:rPr>
          <w:rFonts w:ascii="Arial" w:hAnsi="Arial" w:cs="Arial"/>
          <w:sz w:val="24"/>
          <w:szCs w:val="24"/>
          <w:lang w:val="en-US"/>
        </w:rPr>
        <w:t xml:space="preserve"> with t</w:t>
      </w:r>
      <w:r w:rsidR="00AD5415" w:rsidRPr="0065408A">
        <w:rPr>
          <w:rFonts w:ascii="Arial" w:hAnsi="Arial" w:cs="Arial"/>
          <w:sz w:val="24"/>
          <w:szCs w:val="24"/>
          <w:lang w:val="en-US"/>
        </w:rPr>
        <w:t>he FM/FFM ratio deemed clinically-suitable in the diagnosis of SO</w:t>
      </w:r>
      <w:bookmarkEnd w:id="1"/>
      <w:r w:rsidR="00DE2035" w:rsidRPr="0065408A">
        <w:rPr>
          <w:rFonts w:ascii="Arial" w:hAnsi="Arial" w:cs="Arial"/>
          <w:sz w:val="24"/>
          <w:szCs w:val="24"/>
          <w:lang w:val="en-US"/>
        </w:rPr>
        <w:t xml:space="preserve"> (6).</w:t>
      </w:r>
      <w:r w:rsidR="005D3E2F" w:rsidRPr="0065408A">
        <w:rPr>
          <w:rFonts w:ascii="Arial" w:hAnsi="Arial" w:cs="Arial"/>
          <w:sz w:val="24"/>
          <w:szCs w:val="24"/>
          <w:lang w:val="en-US"/>
        </w:rPr>
        <w:t xml:space="preserve"> However, each</w:t>
      </w:r>
      <w:r w:rsidR="00AF08A4" w:rsidRPr="0065408A">
        <w:rPr>
          <w:rFonts w:ascii="Arial" w:hAnsi="Arial" w:cs="Arial"/>
          <w:sz w:val="24"/>
          <w:szCs w:val="24"/>
          <w:lang w:val="en-US"/>
        </w:rPr>
        <w:t xml:space="preserve"> </w:t>
      </w:r>
      <w:r w:rsidR="001633D3" w:rsidRPr="0065408A">
        <w:rPr>
          <w:rFonts w:ascii="Arial" w:hAnsi="Arial" w:cs="Arial"/>
          <w:sz w:val="24"/>
          <w:szCs w:val="24"/>
          <w:lang w:val="en-US"/>
        </w:rPr>
        <w:t xml:space="preserve">of these </w:t>
      </w:r>
      <w:r w:rsidR="00AF08A4" w:rsidRPr="0065408A">
        <w:rPr>
          <w:rFonts w:ascii="Arial" w:hAnsi="Arial" w:cs="Arial"/>
          <w:sz w:val="24"/>
          <w:szCs w:val="24"/>
          <w:lang w:val="en-US"/>
        </w:rPr>
        <w:t>measure</w:t>
      </w:r>
      <w:r w:rsidR="001633D3" w:rsidRPr="0065408A">
        <w:rPr>
          <w:rFonts w:ascii="Arial" w:hAnsi="Arial" w:cs="Arial"/>
          <w:sz w:val="24"/>
          <w:szCs w:val="24"/>
          <w:lang w:val="en-US"/>
        </w:rPr>
        <w:t xml:space="preserve">s assesses </w:t>
      </w:r>
      <w:r w:rsidR="0017325F" w:rsidRPr="0065408A">
        <w:rPr>
          <w:rFonts w:ascii="Arial" w:hAnsi="Arial" w:cs="Arial"/>
          <w:sz w:val="24"/>
          <w:szCs w:val="24"/>
          <w:lang w:val="en-US"/>
        </w:rPr>
        <w:t>a</w:t>
      </w:r>
      <w:r w:rsidR="005D3E2F" w:rsidRPr="0065408A">
        <w:rPr>
          <w:rFonts w:ascii="Arial" w:hAnsi="Arial" w:cs="Arial"/>
          <w:sz w:val="24"/>
          <w:szCs w:val="24"/>
          <w:lang w:val="en-US"/>
        </w:rPr>
        <w:t xml:space="preserve"> different construct of obesity and are not interchangeable</w:t>
      </w:r>
      <w:r w:rsidR="00DE2035" w:rsidRPr="0065408A">
        <w:rPr>
          <w:rFonts w:ascii="Arial" w:hAnsi="Arial" w:cs="Arial"/>
          <w:sz w:val="24"/>
          <w:szCs w:val="24"/>
          <w:lang w:val="en-US"/>
        </w:rPr>
        <w:t xml:space="preserve"> (5).</w:t>
      </w:r>
      <w:r w:rsidR="005D3E2F" w:rsidRPr="0065408A">
        <w:rPr>
          <w:rFonts w:ascii="Arial" w:hAnsi="Arial" w:cs="Arial"/>
          <w:sz w:val="24"/>
          <w:szCs w:val="24"/>
          <w:lang w:val="en-US"/>
        </w:rPr>
        <w:t xml:space="preserve"> </w:t>
      </w:r>
      <w:r w:rsidR="006751C3" w:rsidRPr="0065408A">
        <w:rPr>
          <w:rFonts w:ascii="Arial" w:hAnsi="Arial" w:cs="Arial"/>
          <w:sz w:val="24"/>
          <w:szCs w:val="24"/>
          <w:lang w:val="en-US"/>
        </w:rPr>
        <w:t xml:space="preserve">To better understand its underlying physiological processes, </w:t>
      </w:r>
      <w:r w:rsidR="009D5E82" w:rsidRPr="0065408A">
        <w:rPr>
          <w:rFonts w:ascii="Arial" w:hAnsi="Arial" w:cs="Arial"/>
          <w:sz w:val="24"/>
          <w:szCs w:val="24"/>
          <w:lang w:val="en-US"/>
        </w:rPr>
        <w:t xml:space="preserve">and to </w:t>
      </w:r>
      <w:r w:rsidR="006751C3" w:rsidRPr="0065408A">
        <w:rPr>
          <w:rFonts w:ascii="Arial" w:hAnsi="Arial" w:cs="Arial"/>
          <w:sz w:val="24"/>
          <w:szCs w:val="24"/>
          <w:lang w:val="en-US"/>
        </w:rPr>
        <w:t xml:space="preserve">determine disease prevalence and design clinical interventions, </w:t>
      </w:r>
      <w:r w:rsidR="000A6969" w:rsidRPr="0065408A">
        <w:rPr>
          <w:rFonts w:ascii="Arial" w:hAnsi="Arial" w:cs="Arial"/>
          <w:sz w:val="24"/>
          <w:szCs w:val="24"/>
          <w:lang w:val="en-US"/>
        </w:rPr>
        <w:t xml:space="preserve">it is necessary to progress towards </w:t>
      </w:r>
      <w:r w:rsidR="006751C3" w:rsidRPr="0065408A">
        <w:rPr>
          <w:rFonts w:ascii="Arial" w:hAnsi="Arial" w:cs="Arial"/>
          <w:sz w:val="24"/>
          <w:szCs w:val="24"/>
          <w:lang w:val="en-US"/>
        </w:rPr>
        <w:t>a</w:t>
      </w:r>
      <w:r w:rsidR="0019585B" w:rsidRPr="0065408A">
        <w:rPr>
          <w:rFonts w:ascii="Arial" w:hAnsi="Arial" w:cs="Arial"/>
          <w:sz w:val="24"/>
          <w:szCs w:val="24"/>
          <w:lang w:val="en-US"/>
        </w:rPr>
        <w:t xml:space="preserve"> </w:t>
      </w:r>
      <w:proofErr w:type="gramStart"/>
      <w:r w:rsidR="0019585B" w:rsidRPr="0065408A">
        <w:rPr>
          <w:rFonts w:ascii="Arial" w:hAnsi="Arial" w:cs="Arial"/>
          <w:sz w:val="24"/>
          <w:szCs w:val="24"/>
          <w:lang w:val="en-US"/>
        </w:rPr>
        <w:t>unified criteria</w:t>
      </w:r>
      <w:proofErr w:type="gramEnd"/>
      <w:r w:rsidR="0019585B" w:rsidRPr="0065408A">
        <w:rPr>
          <w:rFonts w:ascii="Arial" w:hAnsi="Arial" w:cs="Arial"/>
          <w:sz w:val="24"/>
          <w:szCs w:val="24"/>
          <w:lang w:val="en-US"/>
        </w:rPr>
        <w:t xml:space="preserve"> for the diagnosis and classification</w:t>
      </w:r>
      <w:r w:rsidR="0017325F" w:rsidRPr="0065408A">
        <w:rPr>
          <w:rFonts w:ascii="Arial" w:hAnsi="Arial" w:cs="Arial"/>
          <w:sz w:val="24"/>
          <w:szCs w:val="24"/>
          <w:lang w:val="en-US"/>
        </w:rPr>
        <w:t xml:space="preserve"> of obesity.</w:t>
      </w:r>
    </w:p>
    <w:p w14:paraId="175C1EEB" w14:textId="441AD857" w:rsidR="00153BC9" w:rsidRPr="0065408A" w:rsidRDefault="00153BC9" w:rsidP="00830047">
      <w:pPr>
        <w:spacing w:after="0" w:line="480" w:lineRule="auto"/>
        <w:rPr>
          <w:rFonts w:ascii="Arial" w:hAnsi="Arial" w:cs="Arial"/>
          <w:sz w:val="24"/>
          <w:szCs w:val="24"/>
          <w:lang w:val="en-US"/>
        </w:rPr>
      </w:pPr>
    </w:p>
    <w:p w14:paraId="54EA5992" w14:textId="36F4D2BE" w:rsidR="00153BC9" w:rsidRPr="0065408A" w:rsidRDefault="00153BC9"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Aside from the wide heterogeneity </w:t>
      </w:r>
      <w:r w:rsidR="00380C79" w:rsidRPr="0065408A">
        <w:rPr>
          <w:rFonts w:ascii="Arial" w:hAnsi="Arial" w:cs="Arial"/>
          <w:sz w:val="24"/>
          <w:szCs w:val="24"/>
          <w:lang w:val="en-US"/>
        </w:rPr>
        <w:t>of</w:t>
      </w:r>
      <w:r w:rsidRPr="0065408A">
        <w:rPr>
          <w:rFonts w:ascii="Arial" w:hAnsi="Arial" w:cs="Arial"/>
          <w:sz w:val="24"/>
          <w:szCs w:val="24"/>
          <w:lang w:val="en-US"/>
        </w:rPr>
        <w:t xml:space="preserve"> obesity </w:t>
      </w:r>
      <w:r w:rsidR="000A6969" w:rsidRPr="0065408A">
        <w:rPr>
          <w:rFonts w:ascii="Arial" w:hAnsi="Arial" w:cs="Arial"/>
          <w:sz w:val="24"/>
          <w:szCs w:val="24"/>
          <w:lang w:val="en-US"/>
        </w:rPr>
        <w:t>measure</w:t>
      </w:r>
      <w:r w:rsidRPr="0065408A">
        <w:rPr>
          <w:rFonts w:ascii="Arial" w:hAnsi="Arial" w:cs="Arial"/>
          <w:sz w:val="24"/>
          <w:szCs w:val="24"/>
          <w:lang w:val="en-US"/>
        </w:rPr>
        <w:t xml:space="preserve">s </w:t>
      </w:r>
      <w:r w:rsidR="009D5E82" w:rsidRPr="0065408A">
        <w:rPr>
          <w:rFonts w:ascii="Arial" w:hAnsi="Arial" w:cs="Arial"/>
          <w:sz w:val="24"/>
          <w:szCs w:val="24"/>
          <w:lang w:val="en-US"/>
        </w:rPr>
        <w:t xml:space="preserve">used in studies, </w:t>
      </w:r>
      <w:r w:rsidRPr="0065408A">
        <w:rPr>
          <w:rFonts w:ascii="Arial" w:hAnsi="Arial" w:cs="Arial"/>
          <w:sz w:val="24"/>
          <w:szCs w:val="24"/>
          <w:lang w:val="en-US"/>
        </w:rPr>
        <w:t xml:space="preserve">inconsistent </w:t>
      </w:r>
      <w:r w:rsidR="009D5E82" w:rsidRPr="0065408A">
        <w:rPr>
          <w:rFonts w:ascii="Arial" w:hAnsi="Arial" w:cs="Arial"/>
          <w:sz w:val="24"/>
          <w:szCs w:val="24"/>
          <w:lang w:val="en-US"/>
        </w:rPr>
        <w:t xml:space="preserve">observations of </w:t>
      </w:r>
      <w:r w:rsidRPr="0065408A">
        <w:rPr>
          <w:rFonts w:ascii="Arial" w:hAnsi="Arial" w:cs="Arial"/>
          <w:sz w:val="24"/>
          <w:szCs w:val="24"/>
          <w:lang w:val="en-US"/>
        </w:rPr>
        <w:t>associations between SO and disease risk</w:t>
      </w:r>
      <w:r w:rsidR="00DE2035" w:rsidRPr="0065408A">
        <w:rPr>
          <w:rFonts w:ascii="Arial" w:hAnsi="Arial" w:cs="Arial"/>
          <w:sz w:val="24"/>
          <w:szCs w:val="24"/>
          <w:lang w:val="en-US"/>
        </w:rPr>
        <w:t xml:space="preserve"> (7)</w:t>
      </w:r>
      <w:r w:rsidRPr="0065408A">
        <w:rPr>
          <w:rFonts w:ascii="Arial" w:hAnsi="Arial" w:cs="Arial"/>
          <w:sz w:val="24"/>
          <w:szCs w:val="24"/>
          <w:lang w:val="en-US"/>
        </w:rPr>
        <w:t xml:space="preserve"> </w:t>
      </w:r>
      <w:r w:rsidR="009D5E82" w:rsidRPr="0065408A">
        <w:rPr>
          <w:rFonts w:ascii="Arial" w:hAnsi="Arial" w:cs="Arial"/>
          <w:sz w:val="24"/>
          <w:szCs w:val="24"/>
          <w:lang w:val="en-US"/>
        </w:rPr>
        <w:t xml:space="preserve">may also result from </w:t>
      </w:r>
      <w:r w:rsidRPr="0065408A">
        <w:rPr>
          <w:rFonts w:ascii="Arial" w:hAnsi="Arial" w:cs="Arial"/>
          <w:sz w:val="24"/>
          <w:szCs w:val="24"/>
          <w:lang w:val="en-US"/>
        </w:rPr>
        <w:t xml:space="preserve">the criteria used for defining sarcopenia </w:t>
      </w:r>
      <w:r w:rsidR="006751C3" w:rsidRPr="0065408A">
        <w:rPr>
          <w:rFonts w:ascii="Arial" w:hAnsi="Arial" w:cs="Arial"/>
          <w:sz w:val="24"/>
          <w:szCs w:val="24"/>
          <w:lang w:val="en-US"/>
        </w:rPr>
        <w:t>in most studies</w:t>
      </w:r>
      <w:r w:rsidR="009D5E82" w:rsidRPr="0065408A">
        <w:rPr>
          <w:rFonts w:ascii="Arial" w:hAnsi="Arial" w:cs="Arial"/>
          <w:sz w:val="24"/>
          <w:szCs w:val="24"/>
          <w:lang w:val="en-US"/>
        </w:rPr>
        <w:t>, whic</w:t>
      </w:r>
      <w:r w:rsidR="000A6969" w:rsidRPr="0065408A">
        <w:rPr>
          <w:rFonts w:ascii="Arial" w:hAnsi="Arial" w:cs="Arial"/>
          <w:sz w:val="24"/>
          <w:szCs w:val="24"/>
          <w:lang w:val="en-US"/>
        </w:rPr>
        <w:t xml:space="preserve">h other than muscle mass </w:t>
      </w:r>
      <w:r w:rsidRPr="0065408A">
        <w:rPr>
          <w:rFonts w:ascii="Arial" w:hAnsi="Arial" w:cs="Arial"/>
          <w:sz w:val="24"/>
          <w:szCs w:val="24"/>
          <w:lang w:val="en-US"/>
        </w:rPr>
        <w:t xml:space="preserve">did not </w:t>
      </w:r>
      <w:r w:rsidR="000A6969" w:rsidRPr="0065408A">
        <w:rPr>
          <w:rFonts w:ascii="Arial" w:hAnsi="Arial" w:cs="Arial"/>
          <w:sz w:val="24"/>
          <w:szCs w:val="24"/>
          <w:lang w:val="en-US"/>
        </w:rPr>
        <w:t>always consider</w:t>
      </w:r>
      <w:r w:rsidRPr="0065408A">
        <w:rPr>
          <w:rFonts w:ascii="Arial" w:hAnsi="Arial" w:cs="Arial"/>
          <w:sz w:val="24"/>
          <w:szCs w:val="24"/>
          <w:lang w:val="en-US"/>
        </w:rPr>
        <w:t xml:space="preserve"> muscle strength and physical </w:t>
      </w:r>
      <w:r w:rsidR="000A6969" w:rsidRPr="0065408A">
        <w:rPr>
          <w:rFonts w:ascii="Arial" w:hAnsi="Arial" w:cs="Arial"/>
          <w:sz w:val="24"/>
          <w:szCs w:val="24"/>
          <w:lang w:val="en-US"/>
        </w:rPr>
        <w:t>function</w:t>
      </w:r>
      <w:r w:rsidR="00DE2035" w:rsidRPr="0065408A">
        <w:rPr>
          <w:rFonts w:ascii="Arial" w:hAnsi="Arial" w:cs="Arial"/>
          <w:sz w:val="24"/>
          <w:szCs w:val="24"/>
          <w:lang w:val="en-US"/>
        </w:rPr>
        <w:t xml:space="preserve"> (3,5).</w:t>
      </w:r>
      <w:r w:rsidR="0013412E" w:rsidRPr="0065408A">
        <w:rPr>
          <w:rFonts w:ascii="Arial" w:hAnsi="Arial" w:cs="Arial"/>
          <w:sz w:val="24"/>
          <w:szCs w:val="24"/>
          <w:lang w:val="en-US"/>
        </w:rPr>
        <w:t xml:space="preserve"> </w:t>
      </w:r>
      <w:r w:rsidR="00516FD2" w:rsidRPr="0065408A">
        <w:rPr>
          <w:rFonts w:ascii="Arial" w:hAnsi="Arial" w:cs="Arial"/>
          <w:sz w:val="24"/>
          <w:szCs w:val="24"/>
          <w:lang w:val="en-US"/>
        </w:rPr>
        <w:t xml:space="preserve">Muscle strength and function </w:t>
      </w:r>
      <w:r w:rsidR="0013412E" w:rsidRPr="0065408A">
        <w:rPr>
          <w:rFonts w:ascii="Arial" w:hAnsi="Arial" w:cs="Arial"/>
          <w:sz w:val="24"/>
          <w:szCs w:val="24"/>
          <w:lang w:val="en-US"/>
        </w:rPr>
        <w:t>have been shown to decline more rapidly with age and contribute more significantly to physical decline and frailty</w:t>
      </w:r>
      <w:r w:rsidR="00EA6CF0" w:rsidRPr="0065408A">
        <w:rPr>
          <w:rFonts w:ascii="Arial" w:hAnsi="Arial" w:cs="Arial"/>
          <w:sz w:val="24"/>
          <w:szCs w:val="24"/>
          <w:lang w:val="en-US"/>
        </w:rPr>
        <w:t xml:space="preserve"> than muscle mass</w:t>
      </w:r>
      <w:r w:rsidR="0013412E" w:rsidRPr="0065408A">
        <w:rPr>
          <w:rFonts w:ascii="Arial" w:hAnsi="Arial" w:cs="Arial"/>
          <w:sz w:val="24"/>
          <w:szCs w:val="24"/>
          <w:lang w:val="en-US"/>
        </w:rPr>
        <w:t>.</w:t>
      </w:r>
      <w:r w:rsidRPr="0065408A">
        <w:rPr>
          <w:rFonts w:ascii="Arial" w:hAnsi="Arial" w:cs="Arial"/>
          <w:sz w:val="24"/>
          <w:szCs w:val="24"/>
          <w:lang w:val="en-US"/>
        </w:rPr>
        <w:t xml:space="preserve"> </w:t>
      </w:r>
    </w:p>
    <w:p w14:paraId="62F9391B" w14:textId="0E10A597" w:rsidR="00AD5415" w:rsidRPr="0065408A" w:rsidRDefault="00AD5415" w:rsidP="00830047">
      <w:pPr>
        <w:spacing w:after="0" w:line="480" w:lineRule="auto"/>
        <w:rPr>
          <w:rFonts w:ascii="Arial" w:hAnsi="Arial" w:cs="Arial"/>
          <w:sz w:val="24"/>
          <w:szCs w:val="24"/>
          <w:lang w:val="en-US"/>
        </w:rPr>
      </w:pPr>
    </w:p>
    <w:p w14:paraId="3E3CE6A0" w14:textId="00EB77A8" w:rsidR="005B0D22" w:rsidRPr="0065408A" w:rsidRDefault="00AD5415" w:rsidP="00830047">
      <w:pPr>
        <w:spacing w:after="0" w:line="480" w:lineRule="auto"/>
        <w:rPr>
          <w:rFonts w:ascii="Arial" w:hAnsi="Arial" w:cs="Arial"/>
          <w:b/>
          <w:sz w:val="24"/>
          <w:szCs w:val="24"/>
          <w:u w:val="single"/>
          <w:lang w:val="en-US"/>
        </w:rPr>
      </w:pPr>
      <w:r w:rsidRPr="0065408A">
        <w:rPr>
          <w:rFonts w:ascii="Arial" w:hAnsi="Arial" w:cs="Arial"/>
          <w:sz w:val="24"/>
          <w:szCs w:val="24"/>
          <w:lang w:val="en-US"/>
        </w:rPr>
        <w:t>The</w:t>
      </w:r>
      <w:r w:rsidR="003838A5">
        <w:rPr>
          <w:rFonts w:ascii="Arial" w:hAnsi="Arial" w:cs="Arial"/>
          <w:sz w:val="24"/>
          <w:szCs w:val="24"/>
          <w:lang w:val="en-US"/>
        </w:rPr>
        <w:t xml:space="preserve"> primary</w:t>
      </w:r>
      <w:r w:rsidRPr="0065408A">
        <w:rPr>
          <w:rFonts w:ascii="Arial" w:hAnsi="Arial" w:cs="Arial"/>
          <w:sz w:val="24"/>
          <w:szCs w:val="24"/>
          <w:lang w:val="en-US"/>
        </w:rPr>
        <w:t xml:space="preserve"> aim</w:t>
      </w:r>
      <w:r w:rsidR="003838A5">
        <w:rPr>
          <w:rFonts w:ascii="Arial" w:hAnsi="Arial" w:cs="Arial"/>
          <w:sz w:val="24"/>
          <w:szCs w:val="24"/>
          <w:lang w:val="en-US"/>
        </w:rPr>
        <w:t xml:space="preserve"> </w:t>
      </w:r>
      <w:r w:rsidRPr="0065408A">
        <w:rPr>
          <w:rFonts w:ascii="Arial" w:hAnsi="Arial" w:cs="Arial"/>
          <w:sz w:val="24"/>
          <w:szCs w:val="24"/>
          <w:lang w:val="en-US"/>
        </w:rPr>
        <w:t xml:space="preserve">of the present study </w:t>
      </w:r>
      <w:r w:rsidR="003838A5">
        <w:rPr>
          <w:rFonts w:ascii="Arial" w:hAnsi="Arial" w:cs="Arial"/>
          <w:sz w:val="24"/>
          <w:szCs w:val="24"/>
          <w:lang w:val="en-US"/>
        </w:rPr>
        <w:t>was</w:t>
      </w:r>
      <w:r w:rsidR="00DF29D2" w:rsidRPr="0065408A">
        <w:rPr>
          <w:rFonts w:ascii="Arial" w:hAnsi="Arial" w:cs="Arial"/>
          <w:sz w:val="24"/>
          <w:szCs w:val="24"/>
          <w:lang w:val="en-US"/>
        </w:rPr>
        <w:t xml:space="preserve"> </w:t>
      </w:r>
      <w:r w:rsidR="00EA6CF0" w:rsidRPr="0065408A">
        <w:rPr>
          <w:rFonts w:ascii="Arial" w:hAnsi="Arial" w:cs="Arial"/>
          <w:sz w:val="24"/>
          <w:szCs w:val="24"/>
          <w:lang w:val="en-US"/>
        </w:rPr>
        <w:t xml:space="preserve">to </w:t>
      </w:r>
      <w:r w:rsidR="003838A5">
        <w:rPr>
          <w:rFonts w:ascii="Arial" w:hAnsi="Arial" w:cs="Arial"/>
          <w:sz w:val="24"/>
          <w:szCs w:val="24"/>
          <w:lang w:val="en-US"/>
        </w:rPr>
        <w:t>propose the most optimal SO diagnostic formulation by comparing the association of SO with physical function using different obesity measures (</w:t>
      </w:r>
      <w:r w:rsidR="003838A5" w:rsidRPr="0065408A">
        <w:rPr>
          <w:rFonts w:ascii="Arial" w:hAnsi="Arial" w:cs="Arial"/>
          <w:sz w:val="24"/>
          <w:szCs w:val="24"/>
          <w:lang w:val="en-US"/>
        </w:rPr>
        <w:t>WC, PBF, FMI and FM/FFM)</w:t>
      </w:r>
      <w:r w:rsidR="003838A5">
        <w:rPr>
          <w:rFonts w:ascii="Arial" w:hAnsi="Arial" w:cs="Arial"/>
          <w:sz w:val="24"/>
          <w:szCs w:val="24"/>
          <w:lang w:val="en-US"/>
        </w:rPr>
        <w:t xml:space="preserve">. </w:t>
      </w:r>
      <w:bookmarkStart w:id="3" w:name="_Hlk37689530"/>
      <w:r w:rsidR="003838A5" w:rsidRPr="0065408A">
        <w:rPr>
          <w:rFonts w:ascii="Arial" w:hAnsi="Arial" w:cs="Arial"/>
          <w:sz w:val="24"/>
          <w:szCs w:val="24"/>
          <w:lang w:val="en-US"/>
        </w:rPr>
        <w:t xml:space="preserve">We hypothesize that the most optimal diagnostic formulation would be one that is most significantly associated with physical functional impairment. </w:t>
      </w:r>
      <w:bookmarkEnd w:id="3"/>
      <w:r w:rsidR="003838A5">
        <w:rPr>
          <w:rFonts w:ascii="Arial" w:hAnsi="Arial" w:cs="Arial"/>
          <w:sz w:val="24"/>
          <w:szCs w:val="24"/>
          <w:lang w:val="en-US"/>
        </w:rPr>
        <w:t xml:space="preserve">The secondary aim was to </w:t>
      </w:r>
      <w:r w:rsidR="009D5E82" w:rsidRPr="0065408A">
        <w:rPr>
          <w:rFonts w:ascii="Arial" w:hAnsi="Arial" w:cs="Arial"/>
          <w:sz w:val="24"/>
          <w:szCs w:val="24"/>
          <w:lang w:val="en-US"/>
        </w:rPr>
        <w:t xml:space="preserve">compare </w:t>
      </w:r>
      <w:r w:rsidR="003838A5">
        <w:rPr>
          <w:rFonts w:ascii="Arial" w:hAnsi="Arial" w:cs="Arial"/>
          <w:sz w:val="24"/>
          <w:szCs w:val="24"/>
          <w:lang w:val="en-US"/>
        </w:rPr>
        <w:t xml:space="preserve">and describe </w:t>
      </w:r>
      <w:r w:rsidR="00DF29D2" w:rsidRPr="0065408A">
        <w:rPr>
          <w:rFonts w:ascii="Arial" w:hAnsi="Arial" w:cs="Arial"/>
          <w:sz w:val="24"/>
          <w:szCs w:val="24"/>
          <w:lang w:val="en-US"/>
        </w:rPr>
        <w:t>estimate</w:t>
      </w:r>
      <w:r w:rsidR="009D5E82" w:rsidRPr="0065408A">
        <w:rPr>
          <w:rFonts w:ascii="Arial" w:hAnsi="Arial" w:cs="Arial"/>
          <w:sz w:val="24"/>
          <w:szCs w:val="24"/>
          <w:lang w:val="en-US"/>
        </w:rPr>
        <w:t>s</w:t>
      </w:r>
      <w:r w:rsidR="00DF29D2" w:rsidRPr="0065408A">
        <w:rPr>
          <w:rFonts w:ascii="Arial" w:hAnsi="Arial" w:cs="Arial"/>
          <w:sz w:val="24"/>
          <w:szCs w:val="24"/>
          <w:lang w:val="en-US"/>
        </w:rPr>
        <w:t xml:space="preserve"> </w:t>
      </w:r>
      <w:r w:rsidR="009D5E82" w:rsidRPr="0065408A">
        <w:rPr>
          <w:rFonts w:ascii="Arial" w:hAnsi="Arial" w:cs="Arial"/>
          <w:sz w:val="24"/>
          <w:szCs w:val="24"/>
          <w:lang w:val="en-US"/>
        </w:rPr>
        <w:t xml:space="preserve">of </w:t>
      </w:r>
      <w:r w:rsidR="00DF29D2" w:rsidRPr="0065408A">
        <w:rPr>
          <w:rFonts w:ascii="Arial" w:hAnsi="Arial" w:cs="Arial"/>
          <w:sz w:val="24"/>
          <w:szCs w:val="24"/>
          <w:lang w:val="en-US"/>
        </w:rPr>
        <w:t xml:space="preserve">SO prevalence among </w:t>
      </w:r>
      <w:r w:rsidR="00EA6CF0" w:rsidRPr="0065408A">
        <w:rPr>
          <w:rFonts w:ascii="Arial" w:hAnsi="Arial" w:cs="Arial"/>
          <w:sz w:val="24"/>
          <w:szCs w:val="24"/>
          <w:lang w:val="en-US"/>
        </w:rPr>
        <w:t xml:space="preserve">community-dwelling </w:t>
      </w:r>
      <w:r w:rsidR="00DF29D2" w:rsidRPr="0065408A">
        <w:rPr>
          <w:rFonts w:ascii="Arial" w:hAnsi="Arial" w:cs="Arial"/>
          <w:sz w:val="24"/>
          <w:szCs w:val="24"/>
          <w:lang w:val="en-US"/>
        </w:rPr>
        <w:t xml:space="preserve">younger and older </w:t>
      </w:r>
      <w:r w:rsidR="00EA6CF0" w:rsidRPr="0065408A">
        <w:rPr>
          <w:rFonts w:ascii="Arial" w:hAnsi="Arial" w:cs="Arial"/>
          <w:sz w:val="24"/>
          <w:szCs w:val="24"/>
          <w:lang w:val="en-US"/>
        </w:rPr>
        <w:t xml:space="preserve">adults in </w:t>
      </w:r>
      <w:r w:rsidR="009D5E82" w:rsidRPr="0065408A">
        <w:rPr>
          <w:rFonts w:ascii="Arial" w:hAnsi="Arial" w:cs="Arial"/>
          <w:sz w:val="24"/>
          <w:szCs w:val="24"/>
          <w:lang w:val="en-US"/>
        </w:rPr>
        <w:lastRenderedPageBreak/>
        <w:t xml:space="preserve">the </w:t>
      </w:r>
      <w:r w:rsidR="00EA6CF0" w:rsidRPr="0065408A">
        <w:rPr>
          <w:rFonts w:ascii="Arial" w:hAnsi="Arial" w:cs="Arial"/>
          <w:sz w:val="24"/>
          <w:szCs w:val="24"/>
          <w:lang w:val="en-US"/>
        </w:rPr>
        <w:t xml:space="preserve">Singapore </w:t>
      </w:r>
      <w:r w:rsidR="009D5E82" w:rsidRPr="0065408A">
        <w:rPr>
          <w:rFonts w:ascii="Arial" w:hAnsi="Arial" w:cs="Arial"/>
          <w:sz w:val="24"/>
          <w:szCs w:val="24"/>
          <w:lang w:val="en-US"/>
        </w:rPr>
        <w:t xml:space="preserve">population </w:t>
      </w:r>
      <w:r w:rsidR="00DF29D2" w:rsidRPr="0065408A">
        <w:rPr>
          <w:rFonts w:ascii="Arial" w:hAnsi="Arial" w:cs="Arial"/>
          <w:sz w:val="24"/>
          <w:szCs w:val="24"/>
          <w:lang w:val="en-US"/>
        </w:rPr>
        <w:t xml:space="preserve">using AWGS guidelines for sarcopenia </w:t>
      </w:r>
      <w:r w:rsidR="009D5E82" w:rsidRPr="0065408A">
        <w:rPr>
          <w:rFonts w:ascii="Arial" w:hAnsi="Arial" w:cs="Arial"/>
          <w:sz w:val="24"/>
          <w:szCs w:val="24"/>
          <w:lang w:val="en-US"/>
        </w:rPr>
        <w:t xml:space="preserve">diagnosis and </w:t>
      </w:r>
      <w:r w:rsidR="003838A5">
        <w:rPr>
          <w:rFonts w:ascii="Arial" w:hAnsi="Arial" w:cs="Arial"/>
          <w:sz w:val="24"/>
          <w:szCs w:val="24"/>
          <w:lang w:val="en-US"/>
        </w:rPr>
        <w:t xml:space="preserve">the </w:t>
      </w:r>
      <w:r w:rsidR="00DF29D2" w:rsidRPr="0065408A">
        <w:rPr>
          <w:rFonts w:ascii="Arial" w:hAnsi="Arial" w:cs="Arial"/>
          <w:sz w:val="24"/>
          <w:szCs w:val="24"/>
          <w:lang w:val="en-US"/>
        </w:rPr>
        <w:t>different obesity definitions</w:t>
      </w:r>
      <w:r w:rsidR="003838A5">
        <w:rPr>
          <w:rFonts w:ascii="Arial" w:hAnsi="Arial" w:cs="Arial"/>
          <w:sz w:val="24"/>
          <w:szCs w:val="24"/>
          <w:lang w:val="en-US"/>
        </w:rPr>
        <w:t>.</w:t>
      </w:r>
      <w:r w:rsidR="005B0D22" w:rsidRPr="0065408A">
        <w:rPr>
          <w:rFonts w:ascii="Arial" w:hAnsi="Arial" w:cs="Arial"/>
          <w:b/>
          <w:sz w:val="24"/>
          <w:szCs w:val="24"/>
          <w:u w:val="single"/>
          <w:lang w:val="en-US"/>
        </w:rPr>
        <w:br w:type="page"/>
      </w:r>
    </w:p>
    <w:p w14:paraId="0428299E" w14:textId="371FE546" w:rsidR="00122BD5" w:rsidRPr="0065408A" w:rsidRDefault="00122BD5" w:rsidP="00830047">
      <w:pPr>
        <w:spacing w:after="0" w:line="480" w:lineRule="auto"/>
        <w:rPr>
          <w:rFonts w:ascii="Arial" w:hAnsi="Arial" w:cs="Arial"/>
          <w:b/>
          <w:sz w:val="24"/>
          <w:szCs w:val="24"/>
          <w:u w:val="single"/>
          <w:lang w:val="en-US"/>
        </w:rPr>
      </w:pPr>
      <w:r w:rsidRPr="0065408A">
        <w:rPr>
          <w:rFonts w:ascii="Arial" w:hAnsi="Arial" w:cs="Arial"/>
          <w:b/>
          <w:sz w:val="24"/>
          <w:szCs w:val="24"/>
          <w:u w:val="single"/>
          <w:lang w:val="en-US"/>
        </w:rPr>
        <w:lastRenderedPageBreak/>
        <w:t>METHODS</w:t>
      </w:r>
    </w:p>
    <w:p w14:paraId="4F548AC6" w14:textId="77777777" w:rsidR="00541B25" w:rsidRDefault="00541B25" w:rsidP="00541B25">
      <w:pPr>
        <w:spacing w:after="0" w:line="480" w:lineRule="auto"/>
        <w:jc w:val="both"/>
        <w:rPr>
          <w:rFonts w:ascii="Roboto" w:hAnsi="Roboto" w:cs="Times New Roman"/>
          <w:i/>
          <w:iCs/>
          <w:sz w:val="24"/>
          <w:szCs w:val="24"/>
        </w:rPr>
      </w:pPr>
    </w:p>
    <w:p w14:paraId="08FB87C7" w14:textId="0FA88720" w:rsidR="00541B25" w:rsidRPr="00762B50" w:rsidRDefault="00541B25" w:rsidP="00541B25">
      <w:pPr>
        <w:spacing w:after="0" w:line="480" w:lineRule="auto"/>
        <w:jc w:val="both"/>
        <w:rPr>
          <w:rFonts w:ascii="Roboto" w:hAnsi="Roboto" w:cs="Times New Roman"/>
          <w:i/>
          <w:iCs/>
          <w:sz w:val="24"/>
          <w:szCs w:val="24"/>
        </w:rPr>
      </w:pPr>
      <w:r w:rsidRPr="00762B50">
        <w:rPr>
          <w:rFonts w:ascii="Roboto" w:hAnsi="Roboto" w:cs="Times New Roman"/>
          <w:i/>
          <w:iCs/>
          <w:sz w:val="24"/>
          <w:szCs w:val="24"/>
        </w:rPr>
        <w:t>Setting</w:t>
      </w:r>
    </w:p>
    <w:p w14:paraId="34949830" w14:textId="7F7B1D19" w:rsidR="00541B25" w:rsidRPr="00DA4193" w:rsidRDefault="00541B25" w:rsidP="00541B25">
      <w:pPr>
        <w:spacing w:after="0" w:line="480" w:lineRule="auto"/>
        <w:jc w:val="both"/>
        <w:rPr>
          <w:rFonts w:ascii="Roboto" w:hAnsi="Roboto" w:cs="Times New Roman"/>
          <w:sz w:val="24"/>
          <w:szCs w:val="24"/>
          <w:vertAlign w:val="superscript"/>
        </w:rPr>
      </w:pPr>
      <w:r w:rsidRPr="00762B50">
        <w:rPr>
          <w:rFonts w:ascii="Roboto" w:hAnsi="Roboto" w:cs="Times New Roman"/>
          <w:sz w:val="24"/>
          <w:szCs w:val="24"/>
        </w:rPr>
        <w:t>Community-</w:t>
      </w:r>
      <w:r w:rsidRPr="000A6FE0">
        <w:rPr>
          <w:rFonts w:ascii="Roboto" w:hAnsi="Roboto" w:cs="Times New Roman"/>
          <w:sz w:val="24"/>
          <w:szCs w:val="24"/>
        </w:rPr>
        <w:t>dwelling adults (≥21 years) were recruited from</w:t>
      </w:r>
      <w:r>
        <w:rPr>
          <w:rFonts w:ascii="Roboto" w:hAnsi="Roboto" w:cs="Times New Roman"/>
          <w:sz w:val="24"/>
          <w:szCs w:val="24"/>
        </w:rPr>
        <w:t xml:space="preserve"> the town of Yishun,</w:t>
      </w:r>
      <w:r w:rsidRPr="000A6FE0">
        <w:rPr>
          <w:rFonts w:ascii="Roboto" w:hAnsi="Roboto" w:cs="Times New Roman"/>
          <w:sz w:val="24"/>
          <w:szCs w:val="24"/>
        </w:rPr>
        <w:t xml:space="preserve"> one of the largest north-residential towns</w:t>
      </w:r>
      <w:r>
        <w:rPr>
          <w:rFonts w:ascii="Roboto" w:hAnsi="Roboto" w:cs="Times New Roman"/>
          <w:sz w:val="24"/>
          <w:szCs w:val="24"/>
        </w:rPr>
        <w:t xml:space="preserve"> in Singapore</w:t>
      </w:r>
      <w:r w:rsidRPr="00762B50">
        <w:rPr>
          <w:rFonts w:ascii="Roboto" w:hAnsi="Roboto" w:cs="Times New Roman"/>
          <w:sz w:val="24"/>
          <w:szCs w:val="24"/>
        </w:rPr>
        <w:t>, residential population of 220,320 (50.6% females), with 12.2% older adults (≥65 years), similar to the overall Singapore residential population of 4,026,210 (51.1% females), with 14.4% older adults (≥65 years)</w:t>
      </w:r>
      <w:r w:rsidR="00D714C2">
        <w:rPr>
          <w:rFonts w:ascii="Roboto" w:hAnsi="Roboto" w:cs="Times New Roman"/>
          <w:sz w:val="24"/>
          <w:szCs w:val="24"/>
        </w:rPr>
        <w:t xml:space="preserve"> (8).</w:t>
      </w:r>
    </w:p>
    <w:p w14:paraId="13D13B63" w14:textId="77777777" w:rsidR="00122BD5" w:rsidRPr="00541B25" w:rsidRDefault="00122BD5" w:rsidP="002F2B7F">
      <w:pPr>
        <w:spacing w:after="0" w:line="480" w:lineRule="auto"/>
        <w:rPr>
          <w:rFonts w:ascii="Arial" w:hAnsi="Arial" w:cs="Arial"/>
          <w:sz w:val="24"/>
          <w:szCs w:val="24"/>
        </w:rPr>
      </w:pPr>
    </w:p>
    <w:p w14:paraId="556F45BE" w14:textId="77777777" w:rsidR="00541B25" w:rsidRPr="00762B50" w:rsidRDefault="00541B25" w:rsidP="00541B25">
      <w:pPr>
        <w:spacing w:after="0" w:line="480" w:lineRule="auto"/>
        <w:jc w:val="both"/>
        <w:rPr>
          <w:rFonts w:ascii="Roboto" w:hAnsi="Roboto" w:cs="Times New Roman"/>
          <w:i/>
          <w:iCs/>
          <w:sz w:val="24"/>
          <w:szCs w:val="24"/>
        </w:rPr>
      </w:pPr>
      <w:r w:rsidRPr="00762B50">
        <w:rPr>
          <w:rFonts w:ascii="Roboto" w:hAnsi="Roboto" w:cs="Times New Roman"/>
          <w:i/>
          <w:iCs/>
          <w:sz w:val="24"/>
          <w:szCs w:val="24"/>
        </w:rPr>
        <w:t>Participants</w:t>
      </w:r>
    </w:p>
    <w:p w14:paraId="28D35BD9" w14:textId="62F8BF00" w:rsidR="00541B25" w:rsidRPr="00762B50" w:rsidRDefault="00541B25" w:rsidP="00541B25">
      <w:pPr>
        <w:spacing w:after="0" w:line="480" w:lineRule="auto"/>
        <w:jc w:val="both"/>
        <w:rPr>
          <w:rFonts w:ascii="Roboto" w:hAnsi="Roboto" w:cs="Times New Roman"/>
          <w:sz w:val="24"/>
          <w:szCs w:val="24"/>
        </w:rPr>
      </w:pPr>
      <w:r w:rsidRPr="00762B50">
        <w:rPr>
          <w:rFonts w:ascii="Roboto" w:hAnsi="Roboto" w:cs="Times New Roman"/>
          <w:sz w:val="24"/>
          <w:szCs w:val="24"/>
        </w:rPr>
        <w:t>Random sampling was employed to obtain a representative sample of approximately 300 male and 300 female participants, filling quotas of 20-40 participants in each sex- and age-group (10-year age-groups between 21-60; 5-year age-groups after 60). Detailed recruitment methods and exclusion criteria have been reported previously</w:t>
      </w:r>
      <w:r w:rsidR="00D714C2">
        <w:rPr>
          <w:rFonts w:ascii="Roboto" w:hAnsi="Roboto" w:cs="Times New Roman"/>
          <w:sz w:val="24"/>
          <w:szCs w:val="24"/>
        </w:rPr>
        <w:t xml:space="preserve"> (9)</w:t>
      </w:r>
      <w:r w:rsidRPr="00762B50">
        <w:rPr>
          <w:rFonts w:ascii="Roboto" w:hAnsi="Roboto" w:cs="Times New Roman"/>
          <w:sz w:val="24"/>
          <w:szCs w:val="24"/>
        </w:rPr>
        <w:t>.</w:t>
      </w:r>
      <w:r>
        <w:rPr>
          <w:rFonts w:ascii="Roboto" w:hAnsi="Roboto" w:cs="Times New Roman"/>
          <w:sz w:val="24"/>
          <w:szCs w:val="24"/>
        </w:rPr>
        <w:t xml:space="preserve"> </w:t>
      </w:r>
      <w:r w:rsidRPr="00762B50">
        <w:rPr>
          <w:rFonts w:ascii="Roboto" w:hAnsi="Roboto" w:cs="Times New Roman"/>
          <w:sz w:val="24"/>
          <w:szCs w:val="24"/>
        </w:rPr>
        <w:t>Ethics approval was obtained from the National Healthcare Group DSRB (2017/00212). All respondents signed informed consent before participating in the study.</w:t>
      </w:r>
    </w:p>
    <w:p w14:paraId="01BEBC98" w14:textId="77777777" w:rsidR="00122BD5" w:rsidRPr="00541B25" w:rsidRDefault="00122BD5" w:rsidP="002F2B7F">
      <w:pPr>
        <w:spacing w:after="0" w:line="480" w:lineRule="auto"/>
        <w:rPr>
          <w:rFonts w:ascii="Arial" w:hAnsi="Arial" w:cs="Arial"/>
          <w:sz w:val="24"/>
          <w:szCs w:val="24"/>
        </w:rPr>
      </w:pPr>
    </w:p>
    <w:p w14:paraId="0D55B2EB" w14:textId="77777777" w:rsidR="00122BD5" w:rsidRPr="0065408A" w:rsidRDefault="00122BD5" w:rsidP="002F2B7F">
      <w:pPr>
        <w:spacing w:after="0" w:line="480" w:lineRule="auto"/>
        <w:rPr>
          <w:rStyle w:val="selectable"/>
          <w:rFonts w:ascii="Arial" w:hAnsi="Arial" w:cs="Arial"/>
          <w:sz w:val="24"/>
          <w:szCs w:val="24"/>
          <w:lang w:val="en-US"/>
        </w:rPr>
      </w:pPr>
      <w:r w:rsidRPr="0065408A">
        <w:rPr>
          <w:rStyle w:val="selectable"/>
          <w:rFonts w:ascii="Arial" w:hAnsi="Arial" w:cs="Arial"/>
          <w:i/>
          <w:iCs/>
          <w:sz w:val="24"/>
          <w:szCs w:val="24"/>
          <w:lang w:val="en-US"/>
        </w:rPr>
        <w:t>Questionnaires</w:t>
      </w:r>
    </w:p>
    <w:p w14:paraId="2BBD8E7B" w14:textId="79126B45" w:rsidR="00122BD5" w:rsidRPr="0065408A" w:rsidRDefault="00122BD5" w:rsidP="002F2B7F">
      <w:pPr>
        <w:spacing w:after="0" w:line="480" w:lineRule="auto"/>
        <w:rPr>
          <w:rStyle w:val="selectable"/>
          <w:rFonts w:ascii="Arial" w:hAnsi="Arial" w:cs="Arial"/>
          <w:sz w:val="24"/>
          <w:szCs w:val="24"/>
          <w:vertAlign w:val="superscript"/>
          <w:lang w:val="en-US"/>
        </w:rPr>
      </w:pPr>
      <w:r w:rsidRPr="0065408A">
        <w:rPr>
          <w:rStyle w:val="selectable"/>
          <w:rFonts w:ascii="Arial" w:hAnsi="Arial" w:cs="Arial"/>
          <w:sz w:val="24"/>
          <w:szCs w:val="24"/>
          <w:lang w:val="en-US"/>
        </w:rPr>
        <w:t>Participants answered questionnaires pertaining to education level, housing type</w:t>
      </w:r>
      <w:r w:rsidR="00BD54D3" w:rsidRPr="0065408A">
        <w:rPr>
          <w:rStyle w:val="selectable"/>
          <w:rFonts w:ascii="Arial" w:hAnsi="Arial" w:cs="Arial"/>
          <w:sz w:val="24"/>
          <w:szCs w:val="24"/>
          <w:lang w:val="en-US"/>
        </w:rPr>
        <w:t xml:space="preserve"> (a proxy for socio-economic status)</w:t>
      </w:r>
      <w:r w:rsidRPr="0065408A">
        <w:rPr>
          <w:rStyle w:val="selectable"/>
          <w:rFonts w:ascii="Arial" w:hAnsi="Arial" w:cs="Arial"/>
          <w:sz w:val="24"/>
          <w:szCs w:val="24"/>
          <w:lang w:val="en-US"/>
        </w:rPr>
        <w:t xml:space="preserve">, living arrangement, marital status, smoking and </w:t>
      </w:r>
      <w:r w:rsidR="00E5200A">
        <w:rPr>
          <w:rStyle w:val="selectable"/>
          <w:rFonts w:ascii="Arial" w:hAnsi="Arial" w:cs="Arial"/>
          <w:sz w:val="24"/>
          <w:szCs w:val="24"/>
          <w:lang w:val="en-US"/>
        </w:rPr>
        <w:t>drinking (more than four days a week)</w:t>
      </w:r>
      <w:r w:rsidRPr="0065408A">
        <w:rPr>
          <w:rStyle w:val="selectable"/>
          <w:rFonts w:ascii="Arial" w:hAnsi="Arial" w:cs="Arial"/>
          <w:sz w:val="24"/>
          <w:szCs w:val="24"/>
          <w:lang w:val="en-US"/>
        </w:rPr>
        <w:t>, a health and medical questionnaire indicating medical conditions and comorbidities, a mini nutritional assessment (MNA)</w:t>
      </w:r>
      <w:r w:rsidR="00DE2035" w:rsidRPr="0065408A">
        <w:rPr>
          <w:rStyle w:val="selectable"/>
          <w:rFonts w:ascii="Arial" w:hAnsi="Arial" w:cs="Arial"/>
          <w:sz w:val="24"/>
          <w:szCs w:val="24"/>
          <w:lang w:val="en-US"/>
        </w:rPr>
        <w:t xml:space="preserve"> (</w:t>
      </w:r>
      <w:r w:rsidR="00D714C2">
        <w:rPr>
          <w:rStyle w:val="selectable"/>
          <w:rFonts w:ascii="Arial" w:hAnsi="Arial" w:cs="Arial"/>
          <w:sz w:val="24"/>
          <w:szCs w:val="24"/>
          <w:lang w:val="en-US"/>
        </w:rPr>
        <w:t>10</w:t>
      </w:r>
      <w:r w:rsidR="00DE2035" w:rsidRPr="0065408A">
        <w:rPr>
          <w:rStyle w:val="selectable"/>
          <w:rFonts w:ascii="Arial" w:hAnsi="Arial" w:cs="Arial"/>
          <w:sz w:val="24"/>
          <w:szCs w:val="24"/>
          <w:lang w:val="en-US"/>
        </w:rPr>
        <w:t>),</w:t>
      </w:r>
      <w:r w:rsidRPr="0065408A">
        <w:rPr>
          <w:rStyle w:val="selectable"/>
          <w:rFonts w:ascii="Arial" w:hAnsi="Arial" w:cs="Arial"/>
          <w:sz w:val="24"/>
          <w:szCs w:val="24"/>
          <w:lang w:val="en-US"/>
        </w:rPr>
        <w:t xml:space="preserve"> a global physical activity questionnaire (GPAQ)</w:t>
      </w:r>
      <w:r w:rsidR="00DE2035" w:rsidRPr="0065408A">
        <w:rPr>
          <w:rStyle w:val="selectable"/>
          <w:rFonts w:ascii="Arial" w:hAnsi="Arial" w:cs="Arial"/>
          <w:sz w:val="24"/>
          <w:szCs w:val="24"/>
          <w:lang w:val="en-US"/>
        </w:rPr>
        <w:t xml:space="preserve"> (</w:t>
      </w:r>
      <w:r w:rsidR="002F2B7F" w:rsidRPr="0065408A">
        <w:rPr>
          <w:rStyle w:val="selectable"/>
          <w:rFonts w:ascii="Arial" w:hAnsi="Arial" w:cs="Arial"/>
          <w:sz w:val="24"/>
          <w:szCs w:val="24"/>
          <w:lang w:val="en-US"/>
        </w:rPr>
        <w:t>1</w:t>
      </w:r>
      <w:r w:rsidR="00D714C2">
        <w:rPr>
          <w:rStyle w:val="selectable"/>
          <w:rFonts w:ascii="Arial" w:hAnsi="Arial" w:cs="Arial"/>
          <w:sz w:val="24"/>
          <w:szCs w:val="24"/>
          <w:lang w:val="en-US"/>
        </w:rPr>
        <w:t>1</w:t>
      </w:r>
      <w:r w:rsidR="00DE2035" w:rsidRPr="0065408A">
        <w:rPr>
          <w:rStyle w:val="selectable"/>
          <w:rFonts w:ascii="Arial" w:hAnsi="Arial" w:cs="Arial"/>
          <w:sz w:val="24"/>
          <w:szCs w:val="24"/>
          <w:lang w:val="en-US"/>
        </w:rPr>
        <w:t>)</w:t>
      </w:r>
      <w:r w:rsidRPr="0065408A">
        <w:rPr>
          <w:rStyle w:val="selectable"/>
          <w:rFonts w:ascii="Arial" w:hAnsi="Arial" w:cs="Arial"/>
          <w:sz w:val="24"/>
          <w:szCs w:val="24"/>
          <w:lang w:val="en-US"/>
        </w:rPr>
        <w:t xml:space="preserve"> and the LASA physical activity questionnaire</w:t>
      </w:r>
      <w:r w:rsidR="00DE2035" w:rsidRPr="0065408A">
        <w:rPr>
          <w:rStyle w:val="selectable"/>
          <w:rFonts w:ascii="Arial" w:hAnsi="Arial" w:cs="Arial"/>
          <w:sz w:val="24"/>
          <w:szCs w:val="24"/>
          <w:lang w:val="en-US"/>
        </w:rPr>
        <w:t xml:space="preserve"> (1</w:t>
      </w:r>
      <w:r w:rsidR="00D714C2">
        <w:rPr>
          <w:rStyle w:val="selectable"/>
          <w:rFonts w:ascii="Arial" w:hAnsi="Arial" w:cs="Arial"/>
          <w:sz w:val="24"/>
          <w:szCs w:val="24"/>
          <w:lang w:val="en-US"/>
        </w:rPr>
        <w:t>2</w:t>
      </w:r>
      <w:r w:rsidR="00DE2035" w:rsidRPr="0065408A">
        <w:rPr>
          <w:rStyle w:val="selectable"/>
          <w:rFonts w:ascii="Arial" w:hAnsi="Arial" w:cs="Arial"/>
          <w:sz w:val="24"/>
          <w:szCs w:val="24"/>
          <w:lang w:val="en-US"/>
        </w:rPr>
        <w:t>).</w:t>
      </w:r>
    </w:p>
    <w:p w14:paraId="220FDC7E" w14:textId="77777777" w:rsidR="00122BD5" w:rsidRPr="0065408A" w:rsidRDefault="00122BD5" w:rsidP="00830047">
      <w:pPr>
        <w:spacing w:after="0" w:line="480" w:lineRule="auto"/>
        <w:rPr>
          <w:rStyle w:val="selectable"/>
          <w:rFonts w:ascii="Arial" w:hAnsi="Arial" w:cs="Arial"/>
          <w:i/>
          <w:iCs/>
          <w:sz w:val="24"/>
          <w:szCs w:val="24"/>
          <w:lang w:val="en-US"/>
        </w:rPr>
      </w:pPr>
    </w:p>
    <w:p w14:paraId="558A93DE" w14:textId="77777777" w:rsidR="00122BD5" w:rsidRPr="0065408A" w:rsidRDefault="00122BD5" w:rsidP="00830047">
      <w:pPr>
        <w:spacing w:after="0" w:line="480" w:lineRule="auto"/>
        <w:rPr>
          <w:rStyle w:val="selectable"/>
          <w:rFonts w:ascii="Arial" w:hAnsi="Arial" w:cs="Arial"/>
          <w:i/>
          <w:iCs/>
          <w:sz w:val="24"/>
          <w:szCs w:val="24"/>
          <w:lang w:val="en-US"/>
        </w:rPr>
      </w:pPr>
      <w:r w:rsidRPr="0065408A">
        <w:rPr>
          <w:rStyle w:val="selectable"/>
          <w:rFonts w:ascii="Arial" w:hAnsi="Arial" w:cs="Arial"/>
          <w:i/>
          <w:iCs/>
          <w:sz w:val="24"/>
          <w:szCs w:val="24"/>
          <w:lang w:val="en-US"/>
        </w:rPr>
        <w:t>Anthropometry</w:t>
      </w:r>
    </w:p>
    <w:p w14:paraId="405795C9" w14:textId="6CA384B9" w:rsidR="00122BD5" w:rsidRPr="0065408A" w:rsidRDefault="00122BD5" w:rsidP="00830047">
      <w:pPr>
        <w:spacing w:after="0" w:line="480" w:lineRule="auto"/>
        <w:rPr>
          <w:rStyle w:val="selectable"/>
          <w:rFonts w:ascii="Arial" w:hAnsi="Arial" w:cs="Arial"/>
          <w:sz w:val="24"/>
          <w:szCs w:val="24"/>
          <w:vertAlign w:val="superscript"/>
          <w:lang w:val="en-US"/>
        </w:rPr>
      </w:pPr>
      <w:r w:rsidRPr="0065408A">
        <w:rPr>
          <w:rStyle w:val="selectable"/>
          <w:rFonts w:ascii="Arial" w:hAnsi="Arial" w:cs="Arial"/>
          <w:sz w:val="24"/>
          <w:szCs w:val="24"/>
          <w:lang w:val="en-US"/>
        </w:rPr>
        <w:t xml:space="preserve">Body weight to the nearest 0.1 kg and height to nearest </w:t>
      </w:r>
      <w:r w:rsidR="0065408A" w:rsidRPr="0065408A">
        <w:rPr>
          <w:rStyle w:val="selectable"/>
          <w:rFonts w:ascii="Arial" w:hAnsi="Arial" w:cs="Arial"/>
          <w:sz w:val="24"/>
          <w:szCs w:val="24"/>
          <w:lang w:val="en-US"/>
        </w:rPr>
        <w:t>millimeter</w:t>
      </w:r>
      <w:r w:rsidRPr="0065408A">
        <w:rPr>
          <w:rStyle w:val="selectable"/>
          <w:rFonts w:ascii="Arial" w:hAnsi="Arial" w:cs="Arial"/>
          <w:sz w:val="24"/>
          <w:szCs w:val="24"/>
          <w:lang w:val="en-US"/>
        </w:rPr>
        <w:t xml:space="preserve"> were measured using a digital balance and stadiometer (</w:t>
      </w:r>
      <w:proofErr w:type="spellStart"/>
      <w:r w:rsidRPr="0065408A">
        <w:rPr>
          <w:rStyle w:val="selectable"/>
          <w:rFonts w:ascii="Arial" w:hAnsi="Arial" w:cs="Arial"/>
          <w:sz w:val="24"/>
          <w:szCs w:val="24"/>
          <w:lang w:val="en-US"/>
        </w:rPr>
        <w:t>Seca</w:t>
      </w:r>
      <w:proofErr w:type="spellEnd"/>
      <w:r w:rsidRPr="0065408A">
        <w:rPr>
          <w:rStyle w:val="selectable"/>
          <w:rFonts w:ascii="Arial" w:hAnsi="Arial" w:cs="Arial"/>
          <w:sz w:val="24"/>
          <w:szCs w:val="24"/>
          <w:lang w:val="en-US"/>
        </w:rPr>
        <w:t>, GmbH &amp; Co. KG, Hamburg, Germany). Waist and hip circumferences were measured using a non-elastic, flexible measuring tape around the navel and widest part of the hips respectively. Body mass index (BMI) was calculated as weight (kg) divided by height (m) squared.</w:t>
      </w:r>
      <w:r w:rsidR="0033461A" w:rsidRPr="0065408A">
        <w:rPr>
          <w:rStyle w:val="selectable"/>
          <w:rFonts w:ascii="Arial" w:hAnsi="Arial" w:cs="Arial"/>
          <w:sz w:val="24"/>
          <w:szCs w:val="24"/>
          <w:lang w:val="en-US"/>
        </w:rPr>
        <w:t xml:space="preserve"> </w:t>
      </w:r>
      <w:r w:rsidR="00590126" w:rsidRPr="0065408A">
        <w:rPr>
          <w:rStyle w:val="selectable"/>
          <w:rFonts w:ascii="Arial" w:hAnsi="Arial" w:cs="Arial"/>
          <w:sz w:val="24"/>
          <w:szCs w:val="24"/>
          <w:lang w:val="en-US"/>
        </w:rPr>
        <w:t>‘O</w:t>
      </w:r>
      <w:r w:rsidR="0033461A" w:rsidRPr="0065408A">
        <w:rPr>
          <w:rStyle w:val="selectable"/>
          <w:rFonts w:ascii="Arial" w:hAnsi="Arial" w:cs="Arial"/>
          <w:sz w:val="24"/>
          <w:szCs w:val="24"/>
          <w:lang w:val="en-US"/>
        </w:rPr>
        <w:t>besity</w:t>
      </w:r>
      <w:r w:rsidR="00590126" w:rsidRPr="0065408A">
        <w:rPr>
          <w:rStyle w:val="selectable"/>
          <w:rFonts w:ascii="Arial" w:hAnsi="Arial" w:cs="Arial"/>
          <w:sz w:val="24"/>
          <w:szCs w:val="24"/>
          <w:lang w:val="en-US"/>
        </w:rPr>
        <w:t>’</w:t>
      </w:r>
      <w:r w:rsidR="0033461A" w:rsidRPr="0065408A">
        <w:rPr>
          <w:rStyle w:val="selectable"/>
          <w:rFonts w:ascii="Arial" w:hAnsi="Arial" w:cs="Arial"/>
          <w:sz w:val="24"/>
          <w:szCs w:val="24"/>
          <w:lang w:val="en-US"/>
        </w:rPr>
        <w:t xml:space="preserve"> </w:t>
      </w:r>
      <w:r w:rsidR="0065408A">
        <w:rPr>
          <w:rStyle w:val="selectable"/>
          <w:rFonts w:ascii="Arial" w:hAnsi="Arial" w:cs="Arial"/>
          <w:sz w:val="24"/>
          <w:szCs w:val="24"/>
          <w:lang w:val="en-US"/>
        </w:rPr>
        <w:t xml:space="preserve">according to </w:t>
      </w:r>
      <w:r w:rsidR="0065408A" w:rsidRPr="0065408A">
        <w:rPr>
          <w:rStyle w:val="selectable"/>
          <w:rFonts w:ascii="Arial" w:hAnsi="Arial" w:cs="Arial"/>
          <w:sz w:val="24"/>
          <w:szCs w:val="24"/>
          <w:lang w:val="en-US"/>
        </w:rPr>
        <w:t xml:space="preserve">waist circumference (WC) </w:t>
      </w:r>
      <w:r w:rsidR="0033461A" w:rsidRPr="0065408A">
        <w:rPr>
          <w:rStyle w:val="selectable"/>
          <w:rFonts w:ascii="Arial" w:hAnsi="Arial" w:cs="Arial"/>
          <w:sz w:val="24"/>
          <w:szCs w:val="24"/>
          <w:lang w:val="en-US"/>
        </w:rPr>
        <w:t>was defined as ≥90 and ≥80 cm for men and women respectively</w:t>
      </w:r>
      <w:r w:rsidR="00DE2035" w:rsidRPr="0065408A">
        <w:rPr>
          <w:rStyle w:val="selectable"/>
          <w:rFonts w:ascii="Arial" w:hAnsi="Arial" w:cs="Arial"/>
          <w:sz w:val="24"/>
          <w:szCs w:val="24"/>
          <w:lang w:val="en-US"/>
        </w:rPr>
        <w:t xml:space="preserve"> (1</w:t>
      </w:r>
      <w:r w:rsidR="00D714C2">
        <w:rPr>
          <w:rStyle w:val="selectable"/>
          <w:rFonts w:ascii="Arial" w:hAnsi="Arial" w:cs="Arial"/>
          <w:sz w:val="24"/>
          <w:szCs w:val="24"/>
          <w:lang w:val="en-US"/>
        </w:rPr>
        <w:t>3</w:t>
      </w:r>
      <w:r w:rsidR="00DE2035" w:rsidRPr="0065408A">
        <w:rPr>
          <w:rStyle w:val="selectable"/>
          <w:rFonts w:ascii="Arial" w:hAnsi="Arial" w:cs="Arial"/>
          <w:sz w:val="24"/>
          <w:szCs w:val="24"/>
          <w:lang w:val="en-US"/>
        </w:rPr>
        <w:t>).</w:t>
      </w:r>
    </w:p>
    <w:p w14:paraId="7B1A11FD" w14:textId="77777777" w:rsidR="00122BD5" w:rsidRPr="0065408A" w:rsidRDefault="00122BD5" w:rsidP="00830047">
      <w:pPr>
        <w:spacing w:after="0" w:line="480" w:lineRule="auto"/>
        <w:rPr>
          <w:rStyle w:val="selectable"/>
          <w:rFonts w:ascii="Arial" w:hAnsi="Arial" w:cs="Arial"/>
          <w:sz w:val="24"/>
          <w:szCs w:val="24"/>
          <w:lang w:val="en-US"/>
        </w:rPr>
      </w:pPr>
    </w:p>
    <w:p w14:paraId="32310C2D" w14:textId="33170DAA" w:rsidR="00122BD5" w:rsidRPr="0065408A" w:rsidRDefault="00122BD5" w:rsidP="00830047">
      <w:pPr>
        <w:spacing w:after="0" w:line="480" w:lineRule="auto"/>
        <w:rPr>
          <w:rStyle w:val="selectable"/>
          <w:rFonts w:ascii="Arial" w:hAnsi="Arial" w:cs="Arial"/>
          <w:i/>
          <w:iCs/>
          <w:sz w:val="24"/>
          <w:szCs w:val="24"/>
          <w:lang w:val="en-US"/>
        </w:rPr>
      </w:pPr>
      <w:r w:rsidRPr="0065408A">
        <w:rPr>
          <w:rStyle w:val="selectable"/>
          <w:rFonts w:ascii="Arial" w:hAnsi="Arial" w:cs="Arial"/>
          <w:i/>
          <w:iCs/>
          <w:sz w:val="24"/>
          <w:szCs w:val="24"/>
          <w:lang w:val="en-US"/>
        </w:rPr>
        <w:t>Cognitive Assessment</w:t>
      </w:r>
    </w:p>
    <w:p w14:paraId="1EACD82A" w14:textId="00354085" w:rsidR="00122BD5" w:rsidRPr="0065408A" w:rsidRDefault="00122BD5" w:rsidP="00830047">
      <w:pPr>
        <w:spacing w:after="0" w:line="480" w:lineRule="auto"/>
        <w:rPr>
          <w:rStyle w:val="selectable"/>
          <w:rFonts w:ascii="Arial" w:hAnsi="Arial" w:cs="Arial"/>
          <w:i/>
          <w:iCs/>
          <w:sz w:val="24"/>
          <w:szCs w:val="24"/>
          <w:vertAlign w:val="superscript"/>
          <w:lang w:val="en-US"/>
        </w:rPr>
      </w:pPr>
      <w:r w:rsidRPr="0065408A">
        <w:rPr>
          <w:rStyle w:val="selectable"/>
          <w:rFonts w:ascii="Arial" w:hAnsi="Arial" w:cs="Arial"/>
          <w:sz w:val="24"/>
          <w:szCs w:val="24"/>
          <w:lang w:val="en-US"/>
        </w:rPr>
        <w:t xml:space="preserve">Global cognition and cognitive domains including immediate and delayed memory, visuospatial, language and attention were assessed using the </w:t>
      </w:r>
      <w:bookmarkStart w:id="4" w:name="_Hlk37684788"/>
      <w:r w:rsidRPr="0065408A">
        <w:rPr>
          <w:rStyle w:val="selectable"/>
          <w:rFonts w:ascii="Arial" w:hAnsi="Arial" w:cs="Arial"/>
          <w:sz w:val="24"/>
          <w:szCs w:val="24"/>
          <w:lang w:val="en-US"/>
        </w:rPr>
        <w:t xml:space="preserve">Repeatable Battery for the Assessment of Neuropsychological Status </w:t>
      </w:r>
      <w:bookmarkEnd w:id="4"/>
      <w:r w:rsidRPr="0065408A">
        <w:rPr>
          <w:rStyle w:val="selectable"/>
          <w:rFonts w:ascii="Arial" w:hAnsi="Arial" w:cs="Arial"/>
          <w:sz w:val="24"/>
          <w:szCs w:val="24"/>
          <w:lang w:val="en-US"/>
        </w:rPr>
        <w:t>(RBANS)</w:t>
      </w:r>
      <w:r w:rsidR="00DE2035" w:rsidRPr="0065408A">
        <w:rPr>
          <w:rStyle w:val="selectable"/>
          <w:rFonts w:ascii="Arial" w:hAnsi="Arial" w:cs="Arial"/>
          <w:sz w:val="24"/>
          <w:szCs w:val="24"/>
          <w:lang w:val="en-US"/>
        </w:rPr>
        <w:t xml:space="preserve"> (1</w:t>
      </w:r>
      <w:r w:rsidR="00D714C2">
        <w:rPr>
          <w:rStyle w:val="selectable"/>
          <w:rFonts w:ascii="Arial" w:hAnsi="Arial" w:cs="Arial"/>
          <w:sz w:val="24"/>
          <w:szCs w:val="24"/>
          <w:lang w:val="en-US"/>
        </w:rPr>
        <w:t>4</w:t>
      </w:r>
      <w:r w:rsidR="00DE2035" w:rsidRPr="0065408A">
        <w:rPr>
          <w:rStyle w:val="selectable"/>
          <w:rFonts w:ascii="Arial" w:hAnsi="Arial" w:cs="Arial"/>
          <w:sz w:val="24"/>
          <w:szCs w:val="24"/>
          <w:lang w:val="en-US"/>
        </w:rPr>
        <w:t>).</w:t>
      </w:r>
    </w:p>
    <w:p w14:paraId="67ED977A" w14:textId="77777777" w:rsidR="00122BD5" w:rsidRPr="0065408A" w:rsidRDefault="00122BD5" w:rsidP="00830047">
      <w:pPr>
        <w:spacing w:after="0" w:line="480" w:lineRule="auto"/>
        <w:rPr>
          <w:rStyle w:val="selectable"/>
          <w:rFonts w:ascii="Arial" w:hAnsi="Arial" w:cs="Arial"/>
          <w:i/>
          <w:iCs/>
          <w:sz w:val="24"/>
          <w:szCs w:val="24"/>
          <w:lang w:val="en-US"/>
        </w:rPr>
      </w:pPr>
    </w:p>
    <w:p w14:paraId="20D90375" w14:textId="77777777" w:rsidR="00122BD5" w:rsidRPr="0065408A" w:rsidRDefault="00122BD5" w:rsidP="00830047">
      <w:pPr>
        <w:spacing w:after="0" w:line="480" w:lineRule="auto"/>
        <w:rPr>
          <w:rStyle w:val="selectable"/>
          <w:rFonts w:ascii="Arial" w:hAnsi="Arial" w:cs="Arial"/>
          <w:i/>
          <w:iCs/>
          <w:sz w:val="24"/>
          <w:szCs w:val="24"/>
          <w:lang w:val="en-US"/>
        </w:rPr>
      </w:pPr>
      <w:r w:rsidRPr="0065408A">
        <w:rPr>
          <w:rStyle w:val="selectable"/>
          <w:rFonts w:ascii="Arial" w:hAnsi="Arial" w:cs="Arial"/>
          <w:i/>
          <w:iCs/>
          <w:sz w:val="24"/>
          <w:szCs w:val="24"/>
          <w:lang w:val="en-US"/>
        </w:rPr>
        <w:t>Body Composition</w:t>
      </w:r>
    </w:p>
    <w:p w14:paraId="406654B4" w14:textId="16481ECB" w:rsidR="00122BD5" w:rsidRPr="0065408A" w:rsidRDefault="00122BD5" w:rsidP="00830047">
      <w:pPr>
        <w:spacing w:after="0" w:line="480" w:lineRule="auto"/>
        <w:rPr>
          <w:rFonts w:ascii="Arial" w:hAnsi="Arial" w:cs="Arial"/>
          <w:bCs/>
          <w:sz w:val="24"/>
          <w:szCs w:val="24"/>
          <w:vertAlign w:val="superscript"/>
          <w:lang w:val="en-US"/>
        </w:rPr>
      </w:pPr>
      <w:r w:rsidRPr="0065408A">
        <w:rPr>
          <w:rFonts w:ascii="Arial" w:hAnsi="Arial" w:cs="Arial"/>
          <w:bCs/>
          <w:sz w:val="24"/>
          <w:szCs w:val="24"/>
          <w:lang w:val="en-US"/>
        </w:rPr>
        <w:t xml:space="preserve">Bone mineral density, total </w:t>
      </w:r>
      <w:r w:rsidR="00DB3054" w:rsidRPr="0065408A">
        <w:rPr>
          <w:rFonts w:ascii="Arial" w:hAnsi="Arial" w:cs="Arial"/>
          <w:bCs/>
          <w:sz w:val="24"/>
          <w:szCs w:val="24"/>
          <w:lang w:val="en-US"/>
        </w:rPr>
        <w:t xml:space="preserve">percentage </w:t>
      </w:r>
      <w:r w:rsidRPr="0065408A">
        <w:rPr>
          <w:rFonts w:ascii="Arial" w:hAnsi="Arial" w:cs="Arial"/>
          <w:bCs/>
          <w:sz w:val="24"/>
          <w:szCs w:val="24"/>
          <w:lang w:val="en-US"/>
        </w:rPr>
        <w:t xml:space="preserve">body fat </w:t>
      </w:r>
      <w:r w:rsidR="0033461A" w:rsidRPr="0065408A">
        <w:rPr>
          <w:rFonts w:ascii="Arial" w:hAnsi="Arial" w:cs="Arial"/>
          <w:bCs/>
          <w:sz w:val="24"/>
          <w:szCs w:val="24"/>
          <w:lang w:val="en-US"/>
        </w:rPr>
        <w:t>(</w:t>
      </w:r>
      <w:r w:rsidR="00DB3054" w:rsidRPr="0065408A">
        <w:rPr>
          <w:rFonts w:ascii="Arial" w:hAnsi="Arial" w:cs="Arial"/>
          <w:bCs/>
          <w:sz w:val="24"/>
          <w:szCs w:val="24"/>
          <w:lang w:val="en-US"/>
        </w:rPr>
        <w:t>PBF</w:t>
      </w:r>
      <w:r w:rsidR="0033461A" w:rsidRPr="0065408A">
        <w:rPr>
          <w:rFonts w:ascii="Arial" w:hAnsi="Arial" w:cs="Arial"/>
          <w:bCs/>
          <w:sz w:val="24"/>
          <w:szCs w:val="24"/>
          <w:lang w:val="en-US"/>
        </w:rPr>
        <w:t>)</w:t>
      </w:r>
      <w:r w:rsidRPr="0065408A">
        <w:rPr>
          <w:rFonts w:ascii="Arial" w:hAnsi="Arial" w:cs="Arial"/>
          <w:bCs/>
          <w:sz w:val="24"/>
          <w:szCs w:val="24"/>
          <w:lang w:val="en-US"/>
        </w:rPr>
        <w:t xml:space="preserve">, fat mass (FM), fat-free mass (FFM) and appendicular lean mass (ALM) were measured using DXA </w:t>
      </w:r>
      <w:r w:rsidRPr="0065408A">
        <w:rPr>
          <w:rStyle w:val="selectable"/>
          <w:rFonts w:ascii="Arial" w:hAnsi="Arial" w:cs="Arial"/>
          <w:sz w:val="24"/>
          <w:szCs w:val="24"/>
          <w:lang w:val="en-US"/>
        </w:rPr>
        <w:t>(</w:t>
      </w:r>
      <w:r w:rsidRPr="0065408A">
        <w:rPr>
          <w:rFonts w:ascii="Arial" w:hAnsi="Arial" w:cs="Arial"/>
          <w:bCs/>
          <w:sz w:val="24"/>
          <w:szCs w:val="24"/>
          <w:lang w:val="en-US"/>
        </w:rPr>
        <w:t>Discovery WI, Hologic, Inc., Marlborough, USA). Fat mass index (FMI) and appendicular lean mass index (ALMI) were calculated as FM (kg) and ALM (kg) divided by height (m) squared, where FM equals to total body fat mass and ALM equals to the sum of lean mass in the upper and lower limbs. FM/FFM ratio was calculated by taking FM (kg) divided by FFM (kg).</w:t>
      </w:r>
      <w:r w:rsidR="0033461A" w:rsidRPr="0065408A">
        <w:rPr>
          <w:rFonts w:ascii="Arial" w:hAnsi="Arial" w:cs="Arial"/>
          <w:bCs/>
          <w:sz w:val="24"/>
          <w:szCs w:val="24"/>
          <w:lang w:val="en-US"/>
        </w:rPr>
        <w:t xml:space="preserve"> </w:t>
      </w:r>
      <w:r w:rsidR="00590126" w:rsidRPr="0065408A">
        <w:rPr>
          <w:rFonts w:ascii="Arial" w:hAnsi="Arial" w:cs="Arial"/>
          <w:bCs/>
          <w:sz w:val="24"/>
          <w:szCs w:val="24"/>
          <w:lang w:val="en-US"/>
        </w:rPr>
        <w:t>‘</w:t>
      </w:r>
      <w:r w:rsidR="0033461A" w:rsidRPr="0065408A">
        <w:rPr>
          <w:rFonts w:ascii="Arial" w:hAnsi="Arial" w:cs="Arial"/>
          <w:bCs/>
          <w:sz w:val="24"/>
          <w:szCs w:val="24"/>
          <w:lang w:val="en-US"/>
        </w:rPr>
        <w:t>Obesity</w:t>
      </w:r>
      <w:r w:rsidR="00590126" w:rsidRPr="0065408A">
        <w:rPr>
          <w:rFonts w:ascii="Arial" w:hAnsi="Arial" w:cs="Arial"/>
          <w:bCs/>
          <w:sz w:val="24"/>
          <w:szCs w:val="24"/>
          <w:lang w:val="en-US"/>
        </w:rPr>
        <w:t>’</w:t>
      </w:r>
      <w:r w:rsidR="0033461A" w:rsidRPr="0065408A">
        <w:rPr>
          <w:rFonts w:ascii="Arial" w:hAnsi="Arial" w:cs="Arial"/>
          <w:bCs/>
          <w:sz w:val="24"/>
          <w:szCs w:val="24"/>
          <w:lang w:val="en-US"/>
        </w:rPr>
        <w:t xml:space="preserve"> </w:t>
      </w:r>
      <w:r w:rsidR="0065408A">
        <w:rPr>
          <w:rFonts w:ascii="Arial" w:hAnsi="Arial" w:cs="Arial"/>
          <w:bCs/>
          <w:sz w:val="24"/>
          <w:szCs w:val="24"/>
          <w:lang w:val="en-US"/>
        </w:rPr>
        <w:t xml:space="preserve">according to PBF, FMI and FM/FFM </w:t>
      </w:r>
      <w:r w:rsidR="0033461A" w:rsidRPr="0065408A">
        <w:rPr>
          <w:rFonts w:ascii="Arial" w:hAnsi="Arial" w:cs="Arial"/>
          <w:bCs/>
          <w:sz w:val="24"/>
          <w:szCs w:val="24"/>
          <w:lang w:val="en-US"/>
        </w:rPr>
        <w:t>w</w:t>
      </w:r>
      <w:r w:rsidR="0065408A">
        <w:rPr>
          <w:rFonts w:ascii="Arial" w:hAnsi="Arial" w:cs="Arial"/>
          <w:bCs/>
          <w:sz w:val="24"/>
          <w:szCs w:val="24"/>
          <w:lang w:val="en-US"/>
        </w:rPr>
        <w:t>ere</w:t>
      </w:r>
      <w:r w:rsidR="0033461A" w:rsidRPr="0065408A">
        <w:rPr>
          <w:rFonts w:ascii="Arial" w:hAnsi="Arial" w:cs="Arial"/>
          <w:bCs/>
          <w:sz w:val="24"/>
          <w:szCs w:val="24"/>
          <w:lang w:val="en-US"/>
        </w:rPr>
        <w:t xml:space="preserve"> defined using the </w:t>
      </w:r>
      <w:r w:rsidR="00E539CD" w:rsidRPr="0065408A">
        <w:rPr>
          <w:rFonts w:ascii="Arial" w:hAnsi="Arial" w:cs="Arial"/>
          <w:bCs/>
          <w:sz w:val="24"/>
          <w:szCs w:val="24"/>
          <w:lang w:val="en-US"/>
        </w:rPr>
        <w:t>upper two</w:t>
      </w:r>
      <w:r w:rsidR="0033461A" w:rsidRPr="0065408A">
        <w:rPr>
          <w:rFonts w:ascii="Arial" w:hAnsi="Arial" w:cs="Arial"/>
          <w:bCs/>
          <w:sz w:val="24"/>
          <w:szCs w:val="24"/>
          <w:lang w:val="en-US"/>
        </w:rPr>
        <w:t xml:space="preserve"> quintiles </w:t>
      </w:r>
      <w:r w:rsidR="00E539CD" w:rsidRPr="0065408A">
        <w:rPr>
          <w:rFonts w:ascii="Arial" w:hAnsi="Arial" w:cs="Arial"/>
          <w:bCs/>
          <w:sz w:val="24"/>
          <w:szCs w:val="24"/>
          <w:lang w:val="en-US"/>
        </w:rPr>
        <w:t>of</w:t>
      </w:r>
      <w:r w:rsidR="0033461A" w:rsidRPr="0065408A">
        <w:rPr>
          <w:rFonts w:ascii="Arial" w:hAnsi="Arial" w:cs="Arial"/>
          <w:bCs/>
          <w:sz w:val="24"/>
          <w:szCs w:val="24"/>
          <w:lang w:val="en-US"/>
        </w:rPr>
        <w:t xml:space="preserve"> </w:t>
      </w:r>
      <w:r w:rsidR="00DB3054" w:rsidRPr="0065408A">
        <w:rPr>
          <w:rFonts w:ascii="Arial" w:hAnsi="Arial" w:cs="Arial"/>
          <w:bCs/>
          <w:sz w:val="24"/>
          <w:szCs w:val="24"/>
          <w:lang w:val="en-US"/>
        </w:rPr>
        <w:t>PBF</w:t>
      </w:r>
      <w:r w:rsidR="0033461A" w:rsidRPr="0065408A">
        <w:rPr>
          <w:rFonts w:ascii="Arial" w:hAnsi="Arial" w:cs="Arial"/>
          <w:bCs/>
          <w:sz w:val="24"/>
          <w:szCs w:val="24"/>
          <w:lang w:val="en-US"/>
        </w:rPr>
        <w:t xml:space="preserve"> and FMI, and a ratio of &gt;0.80 for FM/FFM</w:t>
      </w:r>
      <w:r w:rsidR="00DE2035" w:rsidRPr="0065408A">
        <w:rPr>
          <w:rFonts w:ascii="Arial" w:hAnsi="Arial" w:cs="Arial"/>
          <w:bCs/>
          <w:sz w:val="24"/>
          <w:szCs w:val="24"/>
          <w:lang w:val="en-US"/>
        </w:rPr>
        <w:t xml:space="preserve"> (6).</w:t>
      </w:r>
    </w:p>
    <w:p w14:paraId="30CC55E2" w14:textId="53993F57" w:rsidR="00122BD5" w:rsidRPr="0065408A" w:rsidRDefault="00122BD5" w:rsidP="00830047">
      <w:pPr>
        <w:pStyle w:val="Default"/>
        <w:spacing w:line="480" w:lineRule="auto"/>
        <w:rPr>
          <w:rFonts w:ascii="Arial" w:hAnsi="Arial" w:cs="Arial"/>
          <w:bCs/>
          <w:color w:val="auto"/>
          <w:lang w:val="en-US"/>
        </w:rPr>
      </w:pPr>
    </w:p>
    <w:p w14:paraId="391FD881" w14:textId="0FA668E8" w:rsidR="000729E0" w:rsidRPr="0065408A" w:rsidRDefault="008857F2" w:rsidP="00830047">
      <w:pPr>
        <w:pStyle w:val="Default"/>
        <w:spacing w:line="480" w:lineRule="auto"/>
        <w:rPr>
          <w:rFonts w:ascii="Arial" w:hAnsi="Arial" w:cs="Arial"/>
          <w:bCs/>
          <w:i/>
          <w:iCs/>
          <w:color w:val="auto"/>
          <w:lang w:val="en-US"/>
        </w:rPr>
      </w:pPr>
      <w:r w:rsidRPr="0065408A">
        <w:rPr>
          <w:rFonts w:ascii="Arial" w:hAnsi="Arial" w:cs="Arial"/>
          <w:bCs/>
          <w:i/>
          <w:iCs/>
          <w:color w:val="auto"/>
          <w:lang w:val="en-US"/>
        </w:rPr>
        <w:lastRenderedPageBreak/>
        <w:t>Functional Performance</w:t>
      </w:r>
    </w:p>
    <w:p w14:paraId="1E9E89F2" w14:textId="2CE5DD4A" w:rsidR="009939A2" w:rsidRPr="0065408A" w:rsidRDefault="000729E0" w:rsidP="00830047">
      <w:pPr>
        <w:pStyle w:val="Default"/>
        <w:spacing w:line="480" w:lineRule="auto"/>
        <w:rPr>
          <w:rStyle w:val="selectable"/>
          <w:rFonts w:ascii="Arial" w:hAnsi="Arial" w:cs="Arial"/>
          <w:color w:val="auto"/>
          <w:lang w:val="en-US"/>
        </w:rPr>
      </w:pPr>
      <w:r w:rsidRPr="0065408A">
        <w:rPr>
          <w:rFonts w:ascii="Arial" w:hAnsi="Arial" w:cs="Arial"/>
          <w:bCs/>
          <w:color w:val="auto"/>
          <w:lang w:val="en-US"/>
        </w:rPr>
        <w:t xml:space="preserve">Muscle function, as a gauge of functional deterioration and impairment, </w:t>
      </w:r>
      <w:r w:rsidR="003562ED" w:rsidRPr="0065408A">
        <w:rPr>
          <w:rFonts w:ascii="Arial" w:hAnsi="Arial" w:cs="Arial"/>
          <w:bCs/>
          <w:color w:val="auto"/>
          <w:lang w:val="en-US"/>
        </w:rPr>
        <w:t>was</w:t>
      </w:r>
      <w:r w:rsidRPr="0065408A">
        <w:rPr>
          <w:rFonts w:ascii="Arial" w:hAnsi="Arial" w:cs="Arial"/>
          <w:bCs/>
          <w:color w:val="auto"/>
          <w:lang w:val="en-US"/>
        </w:rPr>
        <w:t xml:space="preserve"> measured using objective and validated assessments including handgrip strength (HGS)</w:t>
      </w:r>
      <w:r w:rsidR="00DE2035" w:rsidRPr="0065408A">
        <w:rPr>
          <w:rFonts w:ascii="Arial" w:hAnsi="Arial" w:cs="Arial"/>
          <w:bCs/>
          <w:color w:val="auto"/>
          <w:lang w:val="en-US"/>
        </w:rPr>
        <w:t xml:space="preserve"> (1</w:t>
      </w:r>
      <w:r w:rsidR="00D714C2">
        <w:rPr>
          <w:rFonts w:ascii="Arial" w:hAnsi="Arial" w:cs="Arial"/>
          <w:bCs/>
          <w:color w:val="auto"/>
          <w:lang w:val="en-US"/>
        </w:rPr>
        <w:t>5</w:t>
      </w:r>
      <w:r w:rsidR="00DE2035" w:rsidRPr="0065408A">
        <w:rPr>
          <w:rFonts w:ascii="Arial" w:hAnsi="Arial" w:cs="Arial"/>
          <w:bCs/>
          <w:color w:val="auto"/>
          <w:lang w:val="en-US"/>
        </w:rPr>
        <w:t>),</w:t>
      </w:r>
      <w:r w:rsidRPr="0065408A">
        <w:rPr>
          <w:rFonts w:ascii="Arial" w:hAnsi="Arial" w:cs="Arial"/>
          <w:bCs/>
          <w:color w:val="auto"/>
          <w:lang w:val="en-US"/>
        </w:rPr>
        <w:t xml:space="preserve"> knee extensor strength (KES)</w:t>
      </w:r>
      <w:r w:rsidR="00DE2035" w:rsidRPr="0065408A">
        <w:rPr>
          <w:rFonts w:ascii="Arial" w:hAnsi="Arial" w:cs="Arial"/>
          <w:bCs/>
          <w:color w:val="auto"/>
          <w:lang w:val="en-US"/>
        </w:rPr>
        <w:t xml:space="preserve"> (1</w:t>
      </w:r>
      <w:r w:rsidR="00D714C2">
        <w:rPr>
          <w:rFonts w:ascii="Arial" w:hAnsi="Arial" w:cs="Arial"/>
          <w:bCs/>
          <w:color w:val="auto"/>
          <w:lang w:val="en-US"/>
        </w:rPr>
        <w:t>6</w:t>
      </w:r>
      <w:r w:rsidR="00DE2035" w:rsidRPr="0065408A">
        <w:rPr>
          <w:rFonts w:ascii="Arial" w:hAnsi="Arial" w:cs="Arial"/>
          <w:bCs/>
          <w:color w:val="auto"/>
          <w:lang w:val="en-US"/>
        </w:rPr>
        <w:t>),</w:t>
      </w:r>
      <w:r w:rsidRPr="0065408A">
        <w:rPr>
          <w:rFonts w:ascii="Arial" w:hAnsi="Arial" w:cs="Arial"/>
          <w:bCs/>
          <w:color w:val="auto"/>
          <w:lang w:val="en-US"/>
        </w:rPr>
        <w:t xml:space="preserve"> usual gait speed (GS)</w:t>
      </w:r>
      <w:r w:rsidR="00DE2035" w:rsidRPr="0065408A">
        <w:rPr>
          <w:rFonts w:ascii="Arial" w:hAnsi="Arial" w:cs="Arial"/>
          <w:bCs/>
          <w:color w:val="auto"/>
          <w:lang w:val="en-US"/>
        </w:rPr>
        <w:t xml:space="preserve"> (1</w:t>
      </w:r>
      <w:r w:rsidR="00D714C2">
        <w:rPr>
          <w:rFonts w:ascii="Arial" w:hAnsi="Arial" w:cs="Arial"/>
          <w:bCs/>
          <w:color w:val="auto"/>
          <w:lang w:val="en-US"/>
        </w:rPr>
        <w:t>7</w:t>
      </w:r>
      <w:r w:rsidR="00DE2035" w:rsidRPr="0065408A">
        <w:rPr>
          <w:rFonts w:ascii="Arial" w:hAnsi="Arial" w:cs="Arial"/>
          <w:bCs/>
          <w:color w:val="auto"/>
          <w:lang w:val="en-US"/>
        </w:rPr>
        <w:t>),</w:t>
      </w:r>
      <w:r w:rsidRPr="0065408A">
        <w:rPr>
          <w:rFonts w:ascii="Arial" w:hAnsi="Arial" w:cs="Arial"/>
          <w:bCs/>
          <w:color w:val="auto"/>
          <w:lang w:val="en-US"/>
        </w:rPr>
        <w:t xml:space="preserve"> the Short Physical Performance Battery (SPPB)</w:t>
      </w:r>
      <w:r w:rsidR="00DE2035" w:rsidRPr="0065408A">
        <w:rPr>
          <w:rFonts w:ascii="Arial" w:hAnsi="Arial" w:cs="Arial"/>
          <w:bCs/>
          <w:color w:val="auto"/>
          <w:lang w:val="en-US"/>
        </w:rPr>
        <w:t xml:space="preserve"> (1</w:t>
      </w:r>
      <w:r w:rsidR="00D714C2">
        <w:rPr>
          <w:rFonts w:ascii="Arial" w:hAnsi="Arial" w:cs="Arial"/>
          <w:bCs/>
          <w:color w:val="auto"/>
          <w:lang w:val="en-US"/>
        </w:rPr>
        <w:t>8</w:t>
      </w:r>
      <w:r w:rsidR="00DE2035" w:rsidRPr="0065408A">
        <w:rPr>
          <w:rFonts w:ascii="Arial" w:hAnsi="Arial" w:cs="Arial"/>
          <w:bCs/>
          <w:color w:val="auto"/>
          <w:lang w:val="en-US"/>
        </w:rPr>
        <w:t>)</w:t>
      </w:r>
      <w:r w:rsidRPr="0065408A">
        <w:rPr>
          <w:rFonts w:ascii="Arial" w:hAnsi="Arial" w:cs="Arial"/>
          <w:bCs/>
          <w:color w:val="auto"/>
          <w:lang w:val="en-US"/>
        </w:rPr>
        <w:t xml:space="preserve"> and the Timed Up-and-Go (TUG)</w:t>
      </w:r>
      <w:r w:rsidR="00DE2035" w:rsidRPr="0065408A">
        <w:rPr>
          <w:rFonts w:ascii="Arial" w:hAnsi="Arial" w:cs="Arial"/>
          <w:bCs/>
          <w:color w:val="auto"/>
          <w:lang w:val="en-US"/>
        </w:rPr>
        <w:t xml:space="preserve"> (1</w:t>
      </w:r>
      <w:r w:rsidR="00D714C2">
        <w:rPr>
          <w:rFonts w:ascii="Arial" w:hAnsi="Arial" w:cs="Arial"/>
          <w:bCs/>
          <w:color w:val="auto"/>
          <w:lang w:val="en-US"/>
        </w:rPr>
        <w:t>9</w:t>
      </w:r>
      <w:r w:rsidR="00DE2035" w:rsidRPr="0065408A">
        <w:rPr>
          <w:rFonts w:ascii="Arial" w:hAnsi="Arial" w:cs="Arial"/>
          <w:bCs/>
          <w:color w:val="auto"/>
          <w:lang w:val="en-US"/>
        </w:rPr>
        <w:t>).</w:t>
      </w:r>
      <w:r w:rsidR="008857F2" w:rsidRPr="0065408A">
        <w:rPr>
          <w:rFonts w:ascii="Arial" w:hAnsi="Arial" w:cs="Arial"/>
          <w:bCs/>
          <w:color w:val="auto"/>
          <w:vertAlign w:val="superscript"/>
          <w:lang w:val="en-US"/>
        </w:rPr>
        <w:t xml:space="preserve"> </w:t>
      </w:r>
      <w:r w:rsidR="00AD4352" w:rsidRPr="0065408A">
        <w:rPr>
          <w:rFonts w:ascii="Arial" w:hAnsi="Arial" w:cs="Arial"/>
          <w:bCs/>
          <w:color w:val="auto"/>
          <w:lang w:val="en-US"/>
        </w:rPr>
        <w:t>HGS was</w:t>
      </w:r>
      <w:r w:rsidR="00122BD5" w:rsidRPr="0065408A">
        <w:rPr>
          <w:rFonts w:ascii="Arial" w:hAnsi="Arial" w:cs="Arial"/>
          <w:bCs/>
          <w:color w:val="auto"/>
          <w:lang w:val="en-US"/>
        </w:rPr>
        <w:t xml:space="preserve"> assessed using the Jamar Plus+ Digital Hand Dynamometer (Patterson Medical, Evergreen Boulevard, Cedarburg, USA)</w:t>
      </w:r>
      <w:r w:rsidR="002112B6" w:rsidRPr="0065408A">
        <w:rPr>
          <w:rFonts w:ascii="Arial" w:hAnsi="Arial" w:cs="Arial"/>
          <w:bCs/>
          <w:color w:val="auto"/>
          <w:lang w:val="en-US"/>
        </w:rPr>
        <w:t xml:space="preserve">, and the </w:t>
      </w:r>
      <w:r w:rsidR="008857F2" w:rsidRPr="0065408A">
        <w:rPr>
          <w:rFonts w:ascii="Arial" w:hAnsi="Arial" w:cs="Arial"/>
          <w:bCs/>
          <w:color w:val="auto"/>
          <w:lang w:val="en-US"/>
        </w:rPr>
        <w:t>highest of four readings (t</w:t>
      </w:r>
      <w:r w:rsidR="00122BD5" w:rsidRPr="0065408A">
        <w:rPr>
          <w:rFonts w:ascii="Arial" w:hAnsi="Arial" w:cs="Arial"/>
          <w:bCs/>
          <w:color w:val="auto"/>
          <w:lang w:val="en-US"/>
        </w:rPr>
        <w:t>wo trials per arm</w:t>
      </w:r>
      <w:r w:rsidR="008857F2" w:rsidRPr="0065408A">
        <w:rPr>
          <w:rFonts w:ascii="Arial" w:hAnsi="Arial" w:cs="Arial"/>
          <w:bCs/>
          <w:color w:val="auto"/>
          <w:lang w:val="en-US"/>
        </w:rPr>
        <w:t xml:space="preserve">) </w:t>
      </w:r>
      <w:r w:rsidR="00122BD5" w:rsidRPr="0065408A">
        <w:rPr>
          <w:rFonts w:ascii="Arial" w:hAnsi="Arial" w:cs="Arial"/>
          <w:bCs/>
          <w:color w:val="auto"/>
          <w:lang w:val="en-US"/>
        </w:rPr>
        <w:t>recorded.</w:t>
      </w:r>
      <w:r w:rsidR="008857F2" w:rsidRPr="0065408A">
        <w:rPr>
          <w:rFonts w:ascii="Arial" w:hAnsi="Arial" w:cs="Arial"/>
          <w:bCs/>
          <w:color w:val="auto"/>
          <w:lang w:val="en-US"/>
        </w:rPr>
        <w:t xml:space="preserve"> </w:t>
      </w:r>
      <w:r w:rsidR="00AD4352" w:rsidRPr="0065408A">
        <w:rPr>
          <w:rFonts w:ascii="Arial" w:hAnsi="Arial" w:cs="Arial"/>
          <w:bCs/>
          <w:color w:val="auto"/>
          <w:lang w:val="en-US"/>
        </w:rPr>
        <w:t>KES</w:t>
      </w:r>
      <w:r w:rsidR="0033461A" w:rsidRPr="0065408A">
        <w:rPr>
          <w:rFonts w:ascii="Arial" w:hAnsi="Arial" w:cs="Arial"/>
          <w:bCs/>
          <w:color w:val="auto"/>
          <w:lang w:val="en-US"/>
        </w:rPr>
        <w:t xml:space="preserve"> was assessed using </w:t>
      </w:r>
      <w:r w:rsidR="009939A2" w:rsidRPr="0065408A">
        <w:rPr>
          <w:rFonts w:ascii="Arial" w:hAnsi="Arial" w:cs="Arial"/>
          <w:bCs/>
          <w:color w:val="auto"/>
          <w:lang w:val="en-US"/>
        </w:rPr>
        <w:t>a spring gauge strapped 10 cm above the ankle joint</w:t>
      </w:r>
      <w:r w:rsidR="002112B6" w:rsidRPr="0065408A">
        <w:rPr>
          <w:rFonts w:ascii="Arial" w:hAnsi="Arial" w:cs="Arial"/>
          <w:bCs/>
          <w:color w:val="auto"/>
          <w:lang w:val="en-US"/>
        </w:rPr>
        <w:t>, and t</w:t>
      </w:r>
      <w:r w:rsidR="008857F2" w:rsidRPr="0065408A">
        <w:rPr>
          <w:rFonts w:ascii="Arial" w:hAnsi="Arial" w:cs="Arial"/>
          <w:bCs/>
          <w:color w:val="auto"/>
          <w:lang w:val="en-US"/>
        </w:rPr>
        <w:t xml:space="preserve">he highest of four readings (two trials per leg) recorded. </w:t>
      </w:r>
      <w:r w:rsidR="00AD4352" w:rsidRPr="0065408A">
        <w:rPr>
          <w:rFonts w:ascii="Arial" w:hAnsi="Arial" w:cs="Arial"/>
          <w:bCs/>
          <w:color w:val="auto"/>
          <w:lang w:val="en-US"/>
        </w:rPr>
        <w:t>GS</w:t>
      </w:r>
      <w:r w:rsidR="00122BD5" w:rsidRPr="0065408A">
        <w:rPr>
          <w:rFonts w:ascii="Arial" w:hAnsi="Arial" w:cs="Arial"/>
          <w:bCs/>
          <w:color w:val="auto"/>
          <w:lang w:val="en-US"/>
        </w:rPr>
        <w:t xml:space="preserve"> was measured using the 6 m </w:t>
      </w:r>
      <w:proofErr w:type="spellStart"/>
      <w:r w:rsidR="00122BD5" w:rsidRPr="0065408A">
        <w:rPr>
          <w:rFonts w:ascii="Arial" w:hAnsi="Arial" w:cs="Arial"/>
          <w:bCs/>
          <w:color w:val="auto"/>
          <w:lang w:val="en-US"/>
        </w:rPr>
        <w:t>GAITRite</w:t>
      </w:r>
      <w:proofErr w:type="spellEnd"/>
      <w:r w:rsidR="00122BD5" w:rsidRPr="0065408A">
        <w:rPr>
          <w:rFonts w:ascii="Arial" w:hAnsi="Arial" w:cs="Arial"/>
          <w:bCs/>
          <w:color w:val="auto"/>
          <w:lang w:val="en-US"/>
        </w:rPr>
        <w:t xml:space="preserve"> Walkway (CIR Systems Inc., Sparta. New Jersey, USA) with a 2 m lead in and out phase</w:t>
      </w:r>
      <w:r w:rsidR="002112B6" w:rsidRPr="0065408A">
        <w:rPr>
          <w:rFonts w:ascii="Arial" w:hAnsi="Arial" w:cs="Arial"/>
          <w:bCs/>
          <w:color w:val="auto"/>
          <w:lang w:val="en-US"/>
        </w:rPr>
        <w:t>, and t</w:t>
      </w:r>
      <w:r w:rsidR="008857F2" w:rsidRPr="0065408A">
        <w:rPr>
          <w:rFonts w:ascii="Arial" w:hAnsi="Arial" w:cs="Arial"/>
          <w:bCs/>
          <w:color w:val="auto"/>
          <w:lang w:val="en-US"/>
        </w:rPr>
        <w:t>he average speed (t</w:t>
      </w:r>
      <w:r w:rsidR="00122BD5" w:rsidRPr="0065408A">
        <w:rPr>
          <w:rFonts w:ascii="Arial" w:hAnsi="Arial" w:cs="Arial"/>
          <w:bCs/>
          <w:color w:val="auto"/>
          <w:lang w:val="en-US"/>
        </w:rPr>
        <w:t>hree trials</w:t>
      </w:r>
      <w:r w:rsidR="008857F2" w:rsidRPr="0065408A">
        <w:rPr>
          <w:rFonts w:ascii="Arial" w:hAnsi="Arial" w:cs="Arial"/>
          <w:bCs/>
          <w:color w:val="auto"/>
          <w:lang w:val="en-US"/>
        </w:rPr>
        <w:t>)</w:t>
      </w:r>
      <w:r w:rsidR="00122BD5" w:rsidRPr="0065408A">
        <w:rPr>
          <w:rFonts w:ascii="Arial" w:hAnsi="Arial" w:cs="Arial"/>
          <w:bCs/>
          <w:color w:val="auto"/>
          <w:lang w:val="en-US"/>
        </w:rPr>
        <w:t xml:space="preserve"> recorded. </w:t>
      </w:r>
      <w:r w:rsidR="00AD4352" w:rsidRPr="0065408A">
        <w:rPr>
          <w:rFonts w:ascii="Arial" w:hAnsi="Arial" w:cs="Arial"/>
          <w:bCs/>
          <w:color w:val="auto"/>
          <w:lang w:val="en-US"/>
        </w:rPr>
        <w:t xml:space="preserve">TUG </w:t>
      </w:r>
      <w:r w:rsidR="008857F2" w:rsidRPr="0065408A">
        <w:rPr>
          <w:rFonts w:ascii="Arial" w:hAnsi="Arial" w:cs="Arial"/>
          <w:bCs/>
          <w:color w:val="auto"/>
          <w:lang w:val="en-US"/>
        </w:rPr>
        <w:t>measures the progress of balance, sit-to-stand and walking</w:t>
      </w:r>
      <w:r w:rsidR="009939A2" w:rsidRPr="0065408A">
        <w:rPr>
          <w:rStyle w:val="selectable"/>
          <w:rFonts w:ascii="Arial" w:hAnsi="Arial" w:cs="Arial"/>
          <w:color w:val="auto"/>
          <w:lang w:val="en-US"/>
        </w:rPr>
        <w:t xml:space="preserve">. </w:t>
      </w:r>
      <w:r w:rsidR="009A741F" w:rsidRPr="0065408A">
        <w:rPr>
          <w:rStyle w:val="selectable"/>
          <w:rFonts w:ascii="Arial" w:hAnsi="Arial" w:cs="Arial"/>
          <w:color w:val="auto"/>
          <w:lang w:val="en-US"/>
        </w:rPr>
        <w:t>T</w:t>
      </w:r>
      <w:r w:rsidR="009939A2" w:rsidRPr="0065408A">
        <w:rPr>
          <w:rStyle w:val="selectable"/>
          <w:rFonts w:ascii="Arial" w:hAnsi="Arial" w:cs="Arial"/>
          <w:color w:val="auto"/>
          <w:lang w:val="en-US"/>
        </w:rPr>
        <w:t xml:space="preserve">he average </w:t>
      </w:r>
      <w:r w:rsidR="009A741F" w:rsidRPr="0065408A">
        <w:rPr>
          <w:rStyle w:val="selectable"/>
          <w:rFonts w:ascii="Arial" w:hAnsi="Arial" w:cs="Arial"/>
          <w:color w:val="auto"/>
          <w:lang w:val="en-US"/>
        </w:rPr>
        <w:t xml:space="preserve">timing </w:t>
      </w:r>
      <w:r w:rsidR="008857F2" w:rsidRPr="0065408A">
        <w:rPr>
          <w:rStyle w:val="selectable"/>
          <w:rFonts w:ascii="Arial" w:hAnsi="Arial" w:cs="Arial"/>
          <w:color w:val="auto"/>
          <w:lang w:val="en-US"/>
        </w:rPr>
        <w:t xml:space="preserve">(two trials) </w:t>
      </w:r>
      <w:r w:rsidR="009A741F" w:rsidRPr="0065408A">
        <w:rPr>
          <w:rStyle w:val="selectable"/>
          <w:rFonts w:ascii="Arial" w:hAnsi="Arial" w:cs="Arial"/>
          <w:color w:val="auto"/>
          <w:lang w:val="en-US"/>
        </w:rPr>
        <w:t>was recorded</w:t>
      </w:r>
      <w:r w:rsidR="009939A2" w:rsidRPr="0065408A">
        <w:rPr>
          <w:rStyle w:val="selectable"/>
          <w:rFonts w:ascii="Arial" w:hAnsi="Arial" w:cs="Arial"/>
          <w:color w:val="auto"/>
          <w:lang w:val="en-US"/>
        </w:rPr>
        <w:t>.</w:t>
      </w:r>
      <w:r w:rsidR="008857F2" w:rsidRPr="0065408A">
        <w:rPr>
          <w:rStyle w:val="selectable"/>
          <w:rFonts w:ascii="Arial" w:hAnsi="Arial" w:cs="Arial"/>
          <w:color w:val="auto"/>
          <w:lang w:val="en-US"/>
        </w:rPr>
        <w:t xml:space="preserve"> A composite score was calculated</w:t>
      </w:r>
      <w:r w:rsidR="002112B6" w:rsidRPr="0065408A">
        <w:rPr>
          <w:rStyle w:val="selectable"/>
          <w:rFonts w:ascii="Arial" w:hAnsi="Arial" w:cs="Arial"/>
          <w:color w:val="auto"/>
          <w:lang w:val="en-US"/>
        </w:rPr>
        <w:t xml:space="preserve"> for SPPB, which comprises three components: balance, gait speed and repeated chair stands.</w:t>
      </w:r>
    </w:p>
    <w:p w14:paraId="0165CE03" w14:textId="77777777" w:rsidR="00122BD5" w:rsidRPr="0065408A" w:rsidRDefault="00122BD5" w:rsidP="00830047">
      <w:pPr>
        <w:pStyle w:val="Default"/>
        <w:spacing w:line="480" w:lineRule="auto"/>
        <w:rPr>
          <w:rFonts w:ascii="Arial" w:hAnsi="Arial" w:cs="Arial"/>
          <w:bCs/>
          <w:color w:val="auto"/>
          <w:lang w:val="en-US"/>
        </w:rPr>
      </w:pPr>
    </w:p>
    <w:p w14:paraId="399D0209" w14:textId="77777777" w:rsidR="00122BD5" w:rsidRPr="0065408A" w:rsidRDefault="00122BD5" w:rsidP="00830047">
      <w:pPr>
        <w:spacing w:after="0" w:line="480" w:lineRule="auto"/>
        <w:rPr>
          <w:rStyle w:val="selectable"/>
          <w:rFonts w:ascii="Arial" w:hAnsi="Arial" w:cs="Arial"/>
          <w:b/>
          <w:i/>
          <w:sz w:val="24"/>
          <w:szCs w:val="24"/>
          <w:lang w:val="en-US"/>
        </w:rPr>
      </w:pPr>
      <w:r w:rsidRPr="0065408A">
        <w:rPr>
          <w:rStyle w:val="selectable"/>
          <w:rFonts w:ascii="Arial" w:hAnsi="Arial" w:cs="Arial"/>
          <w:i/>
          <w:sz w:val="24"/>
          <w:szCs w:val="24"/>
          <w:lang w:val="en-US"/>
        </w:rPr>
        <w:t>Sarcopenia</w:t>
      </w:r>
    </w:p>
    <w:p w14:paraId="5763EEE8" w14:textId="7086C42A" w:rsidR="00122BD5" w:rsidRPr="0065408A" w:rsidRDefault="00122BD5" w:rsidP="00830047">
      <w:pPr>
        <w:pStyle w:val="Default"/>
        <w:spacing w:line="480" w:lineRule="auto"/>
        <w:rPr>
          <w:rFonts w:ascii="Arial" w:hAnsi="Arial" w:cs="Arial"/>
          <w:bCs/>
          <w:color w:val="auto"/>
          <w:lang w:val="en-US"/>
        </w:rPr>
      </w:pPr>
      <w:r w:rsidRPr="0065408A">
        <w:rPr>
          <w:rFonts w:ascii="Arial" w:hAnsi="Arial" w:cs="Arial"/>
          <w:bCs/>
          <w:color w:val="auto"/>
          <w:lang w:val="en-US"/>
        </w:rPr>
        <w:t>Sarcopenia was assessed using the AWGS</w:t>
      </w:r>
      <w:r w:rsidR="00DE2035" w:rsidRPr="0065408A">
        <w:rPr>
          <w:rFonts w:ascii="Arial" w:hAnsi="Arial" w:cs="Arial"/>
          <w:bCs/>
          <w:color w:val="auto"/>
          <w:lang w:val="en-US"/>
        </w:rPr>
        <w:t xml:space="preserve"> </w:t>
      </w:r>
      <w:r w:rsidRPr="0065408A">
        <w:rPr>
          <w:rFonts w:ascii="Arial" w:hAnsi="Arial" w:cs="Arial"/>
          <w:bCs/>
          <w:color w:val="auto"/>
          <w:lang w:val="en-US"/>
        </w:rPr>
        <w:t>criteria</w:t>
      </w:r>
      <w:r w:rsidR="00EB1018" w:rsidRPr="0065408A">
        <w:rPr>
          <w:rFonts w:ascii="Arial" w:hAnsi="Arial" w:cs="Arial"/>
          <w:bCs/>
          <w:color w:val="auto"/>
          <w:lang w:val="en-US"/>
        </w:rPr>
        <w:t xml:space="preserve"> (2)</w:t>
      </w:r>
      <w:r w:rsidRPr="0065408A">
        <w:rPr>
          <w:rFonts w:ascii="Arial" w:hAnsi="Arial" w:cs="Arial"/>
          <w:bCs/>
          <w:color w:val="auto"/>
          <w:lang w:val="en-US"/>
        </w:rPr>
        <w:t xml:space="preserve">. Poor physical function was defined as GS </w:t>
      </w:r>
      <w:r w:rsidRPr="0065408A">
        <w:rPr>
          <w:rFonts w:ascii="Arial" w:eastAsia="AdvTT345220aa.B+22" w:hAnsi="Arial" w:cs="Arial"/>
          <w:color w:val="auto"/>
          <w:lang w:val="en-US"/>
        </w:rPr>
        <w:t>&lt;1.0 m/s</w:t>
      </w:r>
      <w:r w:rsidRPr="0065408A">
        <w:rPr>
          <w:rFonts w:ascii="Arial" w:hAnsi="Arial" w:cs="Arial"/>
          <w:bCs/>
          <w:color w:val="auto"/>
          <w:lang w:val="en-US"/>
        </w:rPr>
        <w:t>, low muscle mass as ALMI &lt;7.0 and &lt;5.4 kg/m</w:t>
      </w:r>
      <w:r w:rsidRPr="0065408A">
        <w:rPr>
          <w:rFonts w:ascii="Arial" w:hAnsi="Arial" w:cs="Arial"/>
          <w:bCs/>
          <w:color w:val="auto"/>
          <w:vertAlign w:val="superscript"/>
          <w:lang w:val="en-US"/>
        </w:rPr>
        <w:t>2</w:t>
      </w:r>
      <w:r w:rsidRPr="0065408A">
        <w:rPr>
          <w:rFonts w:ascii="Arial" w:hAnsi="Arial" w:cs="Arial"/>
          <w:bCs/>
          <w:color w:val="auto"/>
          <w:lang w:val="en-US"/>
        </w:rPr>
        <w:t>, and muscle strength by HGS &lt;28 and &lt;18 kg for men and women respectively. Presence of low muscle mass and poor muscle strength and/or physical performance constitutes ‘sarcopenia’</w:t>
      </w:r>
      <w:r w:rsidR="00EB1018" w:rsidRPr="0065408A">
        <w:rPr>
          <w:rFonts w:ascii="Arial" w:hAnsi="Arial" w:cs="Arial"/>
          <w:bCs/>
          <w:color w:val="auto"/>
          <w:lang w:val="en-US"/>
        </w:rPr>
        <w:t xml:space="preserve"> (2). </w:t>
      </w:r>
      <w:r w:rsidR="004F675C" w:rsidRPr="0065408A">
        <w:rPr>
          <w:rFonts w:ascii="Arial" w:hAnsi="Arial" w:cs="Arial"/>
          <w:bCs/>
          <w:color w:val="auto"/>
          <w:lang w:val="en-US"/>
        </w:rPr>
        <w:t xml:space="preserve">Participants </w:t>
      </w:r>
      <w:r w:rsidR="003562ED" w:rsidRPr="0065408A">
        <w:rPr>
          <w:rFonts w:ascii="Arial" w:hAnsi="Arial" w:cs="Arial"/>
          <w:bCs/>
          <w:color w:val="auto"/>
          <w:lang w:val="en-US"/>
        </w:rPr>
        <w:t>with</w:t>
      </w:r>
      <w:r w:rsidR="004F675C" w:rsidRPr="0065408A">
        <w:rPr>
          <w:rFonts w:ascii="Arial" w:hAnsi="Arial" w:cs="Arial"/>
          <w:bCs/>
          <w:color w:val="auto"/>
          <w:lang w:val="en-US"/>
        </w:rPr>
        <w:t xml:space="preserve"> both sarcopenia and obesity were classified as ‘sarcopenic obese</w:t>
      </w:r>
      <w:r w:rsidR="00590126" w:rsidRPr="0065408A">
        <w:rPr>
          <w:rFonts w:ascii="Arial" w:hAnsi="Arial" w:cs="Arial"/>
          <w:bCs/>
          <w:color w:val="auto"/>
          <w:lang w:val="en-US"/>
        </w:rPr>
        <w:t xml:space="preserve"> (SO)</w:t>
      </w:r>
      <w:r w:rsidR="004F675C" w:rsidRPr="0065408A">
        <w:rPr>
          <w:rFonts w:ascii="Arial" w:hAnsi="Arial" w:cs="Arial"/>
          <w:bCs/>
          <w:color w:val="auto"/>
          <w:lang w:val="en-US"/>
        </w:rPr>
        <w:t>’</w:t>
      </w:r>
      <w:r w:rsidR="003562ED" w:rsidRPr="0065408A">
        <w:rPr>
          <w:rFonts w:ascii="Arial" w:hAnsi="Arial" w:cs="Arial"/>
          <w:bCs/>
          <w:color w:val="auto"/>
          <w:lang w:val="en-US"/>
        </w:rPr>
        <w:t>. T</w:t>
      </w:r>
      <w:r w:rsidR="004F675C" w:rsidRPr="0065408A">
        <w:rPr>
          <w:rFonts w:ascii="Arial" w:hAnsi="Arial" w:cs="Arial"/>
          <w:bCs/>
          <w:color w:val="auto"/>
          <w:lang w:val="en-US"/>
        </w:rPr>
        <w:t>hose who had neither were classified as ‘normal’.</w:t>
      </w:r>
    </w:p>
    <w:p w14:paraId="2FD12535" w14:textId="77777777" w:rsidR="00122BD5" w:rsidRPr="0065408A" w:rsidRDefault="00122BD5" w:rsidP="00830047">
      <w:pPr>
        <w:pStyle w:val="Default"/>
        <w:spacing w:line="480" w:lineRule="auto"/>
        <w:rPr>
          <w:rFonts w:ascii="Arial" w:hAnsi="Arial" w:cs="Arial"/>
          <w:bCs/>
          <w:color w:val="auto"/>
          <w:lang w:val="en-US"/>
        </w:rPr>
      </w:pPr>
    </w:p>
    <w:p w14:paraId="058D1D73" w14:textId="77777777" w:rsidR="00122BD5" w:rsidRPr="0065408A" w:rsidRDefault="00122BD5" w:rsidP="00830047">
      <w:pPr>
        <w:spacing w:after="0" w:line="480" w:lineRule="auto"/>
        <w:rPr>
          <w:rFonts w:ascii="Arial" w:hAnsi="Arial" w:cs="Arial"/>
          <w:i/>
          <w:iCs/>
          <w:sz w:val="24"/>
          <w:szCs w:val="24"/>
          <w:lang w:val="en-US"/>
        </w:rPr>
      </w:pPr>
      <w:r w:rsidRPr="0065408A">
        <w:rPr>
          <w:rFonts w:ascii="Arial" w:hAnsi="Arial" w:cs="Arial"/>
          <w:i/>
          <w:iCs/>
          <w:sz w:val="24"/>
          <w:szCs w:val="24"/>
          <w:lang w:val="en-US"/>
        </w:rPr>
        <w:t>Statistical Analysis</w:t>
      </w:r>
    </w:p>
    <w:p w14:paraId="11AF8B4A" w14:textId="0E513639" w:rsidR="00C93107" w:rsidRPr="0065408A" w:rsidRDefault="00122BD5" w:rsidP="00830047">
      <w:pPr>
        <w:spacing w:after="0" w:line="480" w:lineRule="auto"/>
        <w:rPr>
          <w:rFonts w:ascii="Arial" w:hAnsi="Arial" w:cs="Arial"/>
          <w:sz w:val="24"/>
          <w:szCs w:val="24"/>
          <w:lang w:val="en-US"/>
        </w:rPr>
      </w:pPr>
      <w:r w:rsidRPr="0065408A">
        <w:rPr>
          <w:rFonts w:ascii="Arial" w:hAnsi="Arial" w:cs="Arial"/>
          <w:sz w:val="24"/>
          <w:szCs w:val="24"/>
          <w:lang w:val="en-US"/>
        </w:rPr>
        <w:lastRenderedPageBreak/>
        <w:t xml:space="preserve">SPSS version 22 (Chicago, Illinois, USA) was used for analysis. </w:t>
      </w:r>
      <w:r w:rsidR="00320006" w:rsidRPr="0065408A">
        <w:rPr>
          <w:rFonts w:ascii="Arial" w:hAnsi="Arial" w:cs="Arial"/>
          <w:sz w:val="24"/>
          <w:szCs w:val="24"/>
          <w:lang w:val="en-US"/>
        </w:rPr>
        <w:t xml:space="preserve">Prevalence of </w:t>
      </w:r>
      <w:r w:rsidR="00590126" w:rsidRPr="0065408A">
        <w:rPr>
          <w:rFonts w:ascii="Arial" w:hAnsi="Arial" w:cs="Arial"/>
          <w:sz w:val="24"/>
          <w:szCs w:val="24"/>
          <w:lang w:val="en-US"/>
        </w:rPr>
        <w:t>SO</w:t>
      </w:r>
      <w:r w:rsidR="00320006" w:rsidRPr="0065408A">
        <w:rPr>
          <w:rFonts w:ascii="Arial" w:hAnsi="Arial" w:cs="Arial"/>
          <w:sz w:val="24"/>
          <w:szCs w:val="24"/>
          <w:lang w:val="en-US"/>
        </w:rPr>
        <w:t xml:space="preserve"> </w:t>
      </w:r>
      <w:r w:rsidRPr="0065408A">
        <w:rPr>
          <w:rFonts w:ascii="Arial" w:hAnsi="Arial" w:cs="Arial"/>
          <w:sz w:val="24"/>
          <w:szCs w:val="24"/>
          <w:lang w:val="en-US"/>
        </w:rPr>
        <w:t>were extrapolated to the general population weights by age groups</w:t>
      </w:r>
      <w:r w:rsidR="005A5557" w:rsidRPr="0065408A">
        <w:rPr>
          <w:rFonts w:ascii="Arial" w:hAnsi="Arial" w:cs="Arial"/>
          <w:sz w:val="24"/>
          <w:szCs w:val="24"/>
          <w:lang w:val="en-US"/>
        </w:rPr>
        <w:t xml:space="preserve">. The four phenotypes – ‘Normal’, ‘Obese’, ‘Sarcopenic’ and ‘Sarcopenic Obese’ – were </w:t>
      </w:r>
      <w:r w:rsidR="00320006" w:rsidRPr="0065408A">
        <w:rPr>
          <w:rFonts w:ascii="Arial" w:hAnsi="Arial" w:cs="Arial"/>
          <w:sz w:val="24"/>
          <w:szCs w:val="24"/>
          <w:lang w:val="en-US"/>
        </w:rPr>
        <w:t>compared against muscle function measures</w:t>
      </w:r>
      <w:r w:rsidR="005A5557" w:rsidRPr="0065408A">
        <w:rPr>
          <w:rFonts w:ascii="Arial" w:hAnsi="Arial" w:cs="Arial"/>
          <w:sz w:val="24"/>
          <w:szCs w:val="24"/>
          <w:lang w:val="en-US"/>
        </w:rPr>
        <w:t xml:space="preserve"> </w:t>
      </w:r>
      <w:r w:rsidR="00320006" w:rsidRPr="0065408A">
        <w:rPr>
          <w:rFonts w:ascii="Arial" w:hAnsi="Arial" w:cs="Arial"/>
          <w:sz w:val="24"/>
          <w:szCs w:val="24"/>
          <w:lang w:val="en-US"/>
        </w:rPr>
        <w:t>using one-way analysis of variance (ANOVA) with Bonferroni correction for post-hoc comparison. To further ascertain the impact of obesity definitions on physical function, u</w:t>
      </w:r>
      <w:r w:rsidRPr="0065408A">
        <w:rPr>
          <w:rFonts w:ascii="Arial" w:hAnsi="Arial" w:cs="Arial"/>
          <w:sz w:val="24"/>
          <w:szCs w:val="24"/>
          <w:lang w:val="en-US"/>
        </w:rPr>
        <w:t xml:space="preserve">nivariate and </w:t>
      </w:r>
      <w:r w:rsidR="00320006" w:rsidRPr="0065408A">
        <w:rPr>
          <w:rFonts w:ascii="Arial" w:hAnsi="Arial" w:cs="Arial"/>
          <w:sz w:val="24"/>
          <w:szCs w:val="24"/>
          <w:lang w:val="en-US"/>
        </w:rPr>
        <w:t>multiple</w:t>
      </w:r>
      <w:r w:rsidRPr="0065408A">
        <w:rPr>
          <w:rFonts w:ascii="Arial" w:hAnsi="Arial" w:cs="Arial"/>
          <w:sz w:val="24"/>
          <w:szCs w:val="24"/>
          <w:lang w:val="en-US"/>
        </w:rPr>
        <w:t xml:space="preserve"> </w:t>
      </w:r>
      <w:r w:rsidR="00320006" w:rsidRPr="0065408A">
        <w:rPr>
          <w:rFonts w:ascii="Arial" w:hAnsi="Arial" w:cs="Arial"/>
          <w:sz w:val="24"/>
          <w:szCs w:val="24"/>
          <w:lang w:val="en-US"/>
        </w:rPr>
        <w:t xml:space="preserve">linear </w:t>
      </w:r>
      <w:r w:rsidRPr="0065408A">
        <w:rPr>
          <w:rFonts w:ascii="Arial" w:hAnsi="Arial" w:cs="Arial"/>
          <w:sz w:val="24"/>
          <w:szCs w:val="24"/>
          <w:lang w:val="en-US"/>
        </w:rPr>
        <w:t xml:space="preserve">regressions were performed to </w:t>
      </w:r>
      <w:r w:rsidR="00320006" w:rsidRPr="0065408A">
        <w:rPr>
          <w:rFonts w:ascii="Arial" w:hAnsi="Arial" w:cs="Arial"/>
          <w:sz w:val="24"/>
          <w:szCs w:val="24"/>
          <w:lang w:val="en-US"/>
        </w:rPr>
        <w:t>determine their associations with SPPB</w:t>
      </w:r>
      <w:r w:rsidRPr="0065408A">
        <w:rPr>
          <w:rFonts w:ascii="Arial" w:hAnsi="Arial" w:cs="Arial"/>
          <w:sz w:val="24"/>
          <w:szCs w:val="24"/>
          <w:lang w:val="en-US"/>
        </w:rPr>
        <w:t xml:space="preserve">. Statistical significance was set at </w:t>
      </w:r>
      <w:r w:rsidRPr="0065408A">
        <w:rPr>
          <w:rFonts w:ascii="Arial" w:hAnsi="Arial" w:cs="Arial"/>
          <w:i/>
          <w:iCs/>
          <w:sz w:val="24"/>
          <w:szCs w:val="24"/>
          <w:lang w:val="en-US"/>
        </w:rPr>
        <w:t>p</w:t>
      </w:r>
      <w:r w:rsidRPr="0065408A">
        <w:rPr>
          <w:rFonts w:ascii="Arial" w:hAnsi="Arial" w:cs="Arial"/>
          <w:sz w:val="24"/>
          <w:szCs w:val="24"/>
          <w:lang w:val="en-US"/>
        </w:rPr>
        <w:t>&lt;</w:t>
      </w:r>
      <w:r w:rsidR="0065408A" w:rsidRPr="0065408A">
        <w:rPr>
          <w:rFonts w:ascii="Arial" w:hAnsi="Arial" w:cs="Arial"/>
          <w:sz w:val="24"/>
          <w:szCs w:val="24"/>
          <w:lang w:val="en-US"/>
        </w:rPr>
        <w:t>0</w:t>
      </w:r>
      <w:r w:rsidRPr="0065408A">
        <w:rPr>
          <w:rFonts w:ascii="Arial" w:hAnsi="Arial" w:cs="Arial"/>
          <w:sz w:val="24"/>
          <w:szCs w:val="24"/>
          <w:lang w:val="en-US"/>
        </w:rPr>
        <w:t>.05.</w:t>
      </w:r>
    </w:p>
    <w:p w14:paraId="3757207F" w14:textId="77777777" w:rsidR="001534F6" w:rsidRPr="0065408A" w:rsidRDefault="001534F6" w:rsidP="00830047">
      <w:pPr>
        <w:rPr>
          <w:rFonts w:ascii="Arial" w:hAnsi="Arial" w:cs="Arial"/>
          <w:sz w:val="24"/>
          <w:szCs w:val="24"/>
          <w:lang w:val="en-US"/>
        </w:rPr>
      </w:pPr>
    </w:p>
    <w:p w14:paraId="57AB450D" w14:textId="77777777" w:rsidR="00D714C2" w:rsidRDefault="00D714C2">
      <w:pPr>
        <w:rPr>
          <w:rFonts w:ascii="Arial" w:hAnsi="Arial" w:cs="Arial"/>
          <w:b/>
          <w:sz w:val="24"/>
          <w:szCs w:val="24"/>
          <w:u w:val="single"/>
          <w:lang w:val="en-US"/>
        </w:rPr>
      </w:pPr>
      <w:r>
        <w:rPr>
          <w:rFonts w:ascii="Arial" w:hAnsi="Arial" w:cs="Arial"/>
          <w:b/>
          <w:sz w:val="24"/>
          <w:szCs w:val="24"/>
          <w:u w:val="single"/>
          <w:lang w:val="en-US"/>
        </w:rPr>
        <w:br w:type="page"/>
      </w:r>
    </w:p>
    <w:p w14:paraId="2BBE0524" w14:textId="096736BA" w:rsidR="00122BD5" w:rsidRPr="0065408A" w:rsidRDefault="00122BD5" w:rsidP="00830047">
      <w:pPr>
        <w:rPr>
          <w:rFonts w:ascii="Arial" w:hAnsi="Arial" w:cs="Arial"/>
          <w:sz w:val="24"/>
          <w:szCs w:val="24"/>
          <w:lang w:val="en-US"/>
        </w:rPr>
      </w:pPr>
      <w:r w:rsidRPr="0065408A">
        <w:rPr>
          <w:rFonts w:ascii="Arial" w:hAnsi="Arial" w:cs="Arial"/>
          <w:b/>
          <w:sz w:val="24"/>
          <w:szCs w:val="24"/>
          <w:u w:val="single"/>
          <w:lang w:val="en-US"/>
        </w:rPr>
        <w:lastRenderedPageBreak/>
        <w:t>RESULTS</w:t>
      </w:r>
    </w:p>
    <w:p w14:paraId="33D7F060" w14:textId="77777777" w:rsidR="00122BD5" w:rsidRPr="0065408A" w:rsidRDefault="00122BD5" w:rsidP="00830047">
      <w:pPr>
        <w:spacing w:after="0" w:line="480" w:lineRule="auto"/>
        <w:rPr>
          <w:rFonts w:ascii="Arial" w:hAnsi="Arial" w:cs="Arial"/>
          <w:b/>
          <w:sz w:val="24"/>
          <w:szCs w:val="24"/>
          <w:u w:val="single"/>
          <w:lang w:val="en-US"/>
        </w:rPr>
      </w:pPr>
    </w:p>
    <w:p w14:paraId="7E2D527C" w14:textId="70B38082" w:rsidR="00122BD5" w:rsidRPr="0065408A" w:rsidRDefault="00122BD5" w:rsidP="00830047">
      <w:pPr>
        <w:spacing w:after="0" w:line="480" w:lineRule="auto"/>
        <w:rPr>
          <w:rFonts w:ascii="Arial" w:hAnsi="Arial" w:cs="Arial"/>
          <w:b/>
          <w:bCs/>
          <w:sz w:val="24"/>
          <w:szCs w:val="24"/>
          <w:lang w:val="en-US"/>
        </w:rPr>
      </w:pPr>
      <w:r w:rsidRPr="0065408A">
        <w:rPr>
          <w:rFonts w:ascii="Arial" w:hAnsi="Arial" w:cs="Arial"/>
          <w:sz w:val="24"/>
          <w:szCs w:val="24"/>
          <w:lang w:val="en-US"/>
        </w:rPr>
        <w:t xml:space="preserve">A total of 542 participants (57.9% females) aged 21-90 years were recruited. Due to incomplete data from </w:t>
      </w:r>
      <w:r w:rsidR="00C93107" w:rsidRPr="0065408A">
        <w:rPr>
          <w:rFonts w:ascii="Arial" w:hAnsi="Arial" w:cs="Arial"/>
          <w:sz w:val="24"/>
          <w:szCs w:val="24"/>
          <w:lang w:val="en-US"/>
        </w:rPr>
        <w:t>seven</w:t>
      </w:r>
      <w:r w:rsidRPr="0065408A">
        <w:rPr>
          <w:rFonts w:ascii="Arial" w:hAnsi="Arial" w:cs="Arial"/>
          <w:sz w:val="24"/>
          <w:szCs w:val="24"/>
          <w:lang w:val="en-US"/>
        </w:rPr>
        <w:t xml:space="preserve"> participants, data from 53</w:t>
      </w:r>
      <w:r w:rsidR="00C93107" w:rsidRPr="0065408A">
        <w:rPr>
          <w:rFonts w:ascii="Arial" w:hAnsi="Arial" w:cs="Arial"/>
          <w:sz w:val="24"/>
          <w:szCs w:val="24"/>
          <w:lang w:val="en-US"/>
        </w:rPr>
        <w:t>5</w:t>
      </w:r>
      <w:r w:rsidRPr="0065408A">
        <w:rPr>
          <w:rFonts w:ascii="Arial" w:hAnsi="Arial" w:cs="Arial"/>
          <w:sz w:val="24"/>
          <w:szCs w:val="24"/>
          <w:lang w:val="en-US"/>
        </w:rPr>
        <w:t xml:space="preserve"> participants were </w:t>
      </w:r>
      <w:r w:rsidR="0065408A" w:rsidRPr="0065408A">
        <w:rPr>
          <w:rFonts w:ascii="Arial" w:hAnsi="Arial" w:cs="Arial"/>
          <w:sz w:val="24"/>
          <w:szCs w:val="24"/>
          <w:lang w:val="en-US"/>
        </w:rPr>
        <w:t>analyzed</w:t>
      </w:r>
      <w:r w:rsidR="003E4235" w:rsidRPr="0065408A">
        <w:rPr>
          <w:rFonts w:ascii="Arial" w:hAnsi="Arial" w:cs="Arial"/>
          <w:sz w:val="24"/>
          <w:szCs w:val="24"/>
          <w:lang w:val="en-US"/>
        </w:rPr>
        <w:t xml:space="preserve"> (</w:t>
      </w:r>
      <w:r w:rsidR="003E4235" w:rsidRPr="0065408A">
        <w:rPr>
          <w:rFonts w:ascii="Arial" w:hAnsi="Arial" w:cs="Arial"/>
          <w:b/>
          <w:bCs/>
          <w:sz w:val="24"/>
          <w:szCs w:val="24"/>
          <w:lang w:val="en-US"/>
        </w:rPr>
        <w:t>Figure 1.</w:t>
      </w:r>
      <w:r w:rsidR="003E4235" w:rsidRPr="0065408A">
        <w:rPr>
          <w:rFonts w:ascii="Arial" w:hAnsi="Arial" w:cs="Arial"/>
          <w:sz w:val="24"/>
          <w:szCs w:val="24"/>
          <w:lang w:val="en-US"/>
        </w:rPr>
        <w:t>)</w:t>
      </w:r>
      <w:r w:rsidRPr="0065408A">
        <w:rPr>
          <w:rFonts w:ascii="Arial" w:hAnsi="Arial" w:cs="Arial"/>
          <w:sz w:val="24"/>
          <w:szCs w:val="24"/>
          <w:lang w:val="en-US"/>
        </w:rPr>
        <w:t>. Of these, 81.</w:t>
      </w:r>
      <w:r w:rsidR="00DB66AC" w:rsidRPr="0065408A">
        <w:rPr>
          <w:rFonts w:ascii="Arial" w:hAnsi="Arial" w:cs="Arial"/>
          <w:sz w:val="24"/>
          <w:szCs w:val="24"/>
          <w:lang w:val="en-US"/>
        </w:rPr>
        <w:t>9</w:t>
      </w:r>
      <w:r w:rsidRPr="0065408A">
        <w:rPr>
          <w:rFonts w:ascii="Arial" w:hAnsi="Arial" w:cs="Arial"/>
          <w:sz w:val="24"/>
          <w:szCs w:val="24"/>
          <w:lang w:val="en-US"/>
        </w:rPr>
        <w:t>% were Chinese, 8.6% Malays, 6.</w:t>
      </w:r>
      <w:r w:rsidR="00DB66AC" w:rsidRPr="0065408A">
        <w:rPr>
          <w:rFonts w:ascii="Arial" w:hAnsi="Arial" w:cs="Arial"/>
          <w:sz w:val="24"/>
          <w:szCs w:val="24"/>
          <w:lang w:val="en-US"/>
        </w:rPr>
        <w:t>7</w:t>
      </w:r>
      <w:r w:rsidRPr="0065408A">
        <w:rPr>
          <w:rFonts w:ascii="Arial" w:hAnsi="Arial" w:cs="Arial"/>
          <w:sz w:val="24"/>
          <w:szCs w:val="24"/>
          <w:lang w:val="en-US"/>
        </w:rPr>
        <w:t>% Indians, and 2.8% from other races. Mean age was 58.</w:t>
      </w:r>
      <w:r w:rsidR="00DB66AC" w:rsidRPr="0065408A">
        <w:rPr>
          <w:rFonts w:ascii="Arial" w:hAnsi="Arial" w:cs="Arial"/>
          <w:sz w:val="24"/>
          <w:szCs w:val="24"/>
          <w:lang w:val="en-US"/>
        </w:rPr>
        <w:t>6</w:t>
      </w:r>
      <w:r w:rsidRPr="0065408A">
        <w:rPr>
          <w:rFonts w:ascii="Arial" w:hAnsi="Arial" w:cs="Arial"/>
          <w:sz w:val="24"/>
          <w:szCs w:val="24"/>
          <w:lang w:val="en-US"/>
        </w:rPr>
        <w:t xml:space="preserve"> (18.8) years. The descriptive statistics are presented in </w:t>
      </w:r>
      <w:r w:rsidRPr="0065408A">
        <w:rPr>
          <w:rFonts w:ascii="Arial" w:hAnsi="Arial" w:cs="Arial"/>
          <w:b/>
          <w:bCs/>
          <w:sz w:val="24"/>
          <w:szCs w:val="24"/>
          <w:lang w:val="en-US"/>
        </w:rPr>
        <w:t xml:space="preserve">Table 1. </w:t>
      </w:r>
      <w:r w:rsidRPr="0065408A">
        <w:rPr>
          <w:rFonts w:ascii="Arial" w:hAnsi="Arial" w:cs="Arial"/>
          <w:bCs/>
          <w:sz w:val="24"/>
          <w:szCs w:val="24"/>
          <w:lang w:val="en-US"/>
        </w:rPr>
        <w:t>and</w:t>
      </w:r>
      <w:r w:rsidRPr="0065408A">
        <w:rPr>
          <w:rFonts w:ascii="Arial" w:hAnsi="Arial" w:cs="Arial"/>
          <w:b/>
          <w:bCs/>
          <w:sz w:val="24"/>
          <w:szCs w:val="24"/>
          <w:lang w:val="en-US"/>
        </w:rPr>
        <w:t xml:space="preserve"> 2.</w:t>
      </w:r>
      <w:r w:rsidR="004221ED" w:rsidRPr="0065408A">
        <w:rPr>
          <w:rFonts w:ascii="Arial" w:hAnsi="Arial" w:cs="Arial"/>
          <w:b/>
          <w:bCs/>
          <w:sz w:val="24"/>
          <w:szCs w:val="24"/>
          <w:lang w:val="en-US"/>
        </w:rPr>
        <w:t xml:space="preserve"> </w:t>
      </w:r>
    </w:p>
    <w:p w14:paraId="781626B8" w14:textId="04D84B78" w:rsidR="00614E26" w:rsidRPr="0065408A" w:rsidRDefault="00614E26" w:rsidP="00830047">
      <w:pPr>
        <w:spacing w:after="0" w:line="480" w:lineRule="auto"/>
        <w:rPr>
          <w:rFonts w:ascii="Arial" w:hAnsi="Arial" w:cs="Arial"/>
          <w:b/>
          <w:bCs/>
          <w:sz w:val="24"/>
          <w:szCs w:val="24"/>
          <w:lang w:val="en-US"/>
        </w:rPr>
      </w:pPr>
    </w:p>
    <w:p w14:paraId="74A13DF3" w14:textId="06BA6F6E" w:rsidR="00122BD5" w:rsidRPr="0065408A" w:rsidRDefault="00614E26"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Cut-off values for obesity using the sex-specific </w:t>
      </w:r>
      <w:r w:rsidR="00E539CD" w:rsidRPr="0065408A">
        <w:rPr>
          <w:rFonts w:ascii="Arial" w:hAnsi="Arial" w:cs="Arial"/>
          <w:sz w:val="24"/>
          <w:szCs w:val="24"/>
          <w:lang w:val="en-US"/>
        </w:rPr>
        <w:t>upper two</w:t>
      </w:r>
      <w:r w:rsidRPr="0065408A">
        <w:rPr>
          <w:rFonts w:ascii="Arial" w:hAnsi="Arial" w:cs="Arial"/>
          <w:sz w:val="24"/>
          <w:szCs w:val="24"/>
          <w:lang w:val="en-US"/>
        </w:rPr>
        <w:t xml:space="preserve"> quintiles of </w:t>
      </w:r>
      <w:r w:rsidR="00DB3054" w:rsidRPr="0065408A">
        <w:rPr>
          <w:rFonts w:ascii="Arial" w:hAnsi="Arial" w:cs="Arial"/>
          <w:sz w:val="24"/>
          <w:szCs w:val="24"/>
          <w:lang w:val="en-US"/>
        </w:rPr>
        <w:t>PBF</w:t>
      </w:r>
      <w:r w:rsidRPr="0065408A">
        <w:rPr>
          <w:rFonts w:ascii="Arial" w:hAnsi="Arial" w:cs="Arial"/>
          <w:sz w:val="24"/>
          <w:szCs w:val="24"/>
          <w:lang w:val="en-US"/>
        </w:rPr>
        <w:t xml:space="preserve"> and FMI</w:t>
      </w:r>
      <w:r w:rsidR="000E319A" w:rsidRPr="0065408A">
        <w:rPr>
          <w:rFonts w:ascii="Arial" w:hAnsi="Arial" w:cs="Arial"/>
          <w:sz w:val="24"/>
          <w:szCs w:val="24"/>
          <w:lang w:val="en-US"/>
        </w:rPr>
        <w:t xml:space="preserve"> </w:t>
      </w:r>
      <w:r w:rsidR="00991E4A" w:rsidRPr="0065408A">
        <w:rPr>
          <w:rFonts w:ascii="Arial" w:hAnsi="Arial" w:cs="Arial"/>
          <w:sz w:val="24"/>
          <w:szCs w:val="24"/>
          <w:lang w:val="en-US"/>
        </w:rPr>
        <w:t>were</w:t>
      </w:r>
      <w:r w:rsidRPr="0065408A">
        <w:rPr>
          <w:rFonts w:ascii="Arial" w:hAnsi="Arial" w:cs="Arial"/>
          <w:sz w:val="24"/>
          <w:szCs w:val="24"/>
          <w:lang w:val="en-US"/>
        </w:rPr>
        <w:t xml:space="preserve"> 31.0% and 7.63 kg/m</w:t>
      </w:r>
      <w:r w:rsidRPr="0065408A">
        <w:rPr>
          <w:rFonts w:ascii="Arial" w:hAnsi="Arial" w:cs="Arial"/>
          <w:sz w:val="24"/>
          <w:szCs w:val="24"/>
          <w:vertAlign w:val="superscript"/>
          <w:lang w:val="en-US"/>
        </w:rPr>
        <w:t>2</w:t>
      </w:r>
      <w:r w:rsidRPr="0065408A">
        <w:rPr>
          <w:rFonts w:ascii="Arial" w:hAnsi="Arial" w:cs="Arial"/>
          <w:sz w:val="24"/>
          <w:szCs w:val="24"/>
          <w:lang w:val="en-US"/>
        </w:rPr>
        <w:t xml:space="preserve"> for men, and 41.4% and 9.93 kg/m</w:t>
      </w:r>
      <w:r w:rsidRPr="0065408A">
        <w:rPr>
          <w:rFonts w:ascii="Arial" w:hAnsi="Arial" w:cs="Arial"/>
          <w:sz w:val="24"/>
          <w:szCs w:val="24"/>
          <w:vertAlign w:val="superscript"/>
          <w:lang w:val="en-US"/>
        </w:rPr>
        <w:t>2</w:t>
      </w:r>
      <w:r w:rsidRPr="0065408A">
        <w:rPr>
          <w:rFonts w:ascii="Arial" w:hAnsi="Arial" w:cs="Arial"/>
          <w:sz w:val="24"/>
          <w:szCs w:val="24"/>
          <w:lang w:val="en-US"/>
        </w:rPr>
        <w:t xml:space="preserve"> for women. </w:t>
      </w:r>
      <w:r w:rsidR="00122BD5" w:rsidRPr="0065408A">
        <w:rPr>
          <w:rFonts w:ascii="Arial" w:hAnsi="Arial" w:cs="Arial"/>
          <w:sz w:val="24"/>
          <w:szCs w:val="24"/>
          <w:lang w:val="en-US"/>
        </w:rPr>
        <w:t xml:space="preserve">Overall population-adjusted prevalence of </w:t>
      </w:r>
      <w:r w:rsidR="00DB66AC" w:rsidRPr="0065408A">
        <w:rPr>
          <w:rFonts w:ascii="Arial" w:hAnsi="Arial" w:cs="Arial"/>
          <w:sz w:val="24"/>
          <w:szCs w:val="24"/>
          <w:lang w:val="en-US"/>
        </w:rPr>
        <w:t xml:space="preserve">sarcopenic obesity (SO) </w:t>
      </w:r>
      <w:r w:rsidR="00991E4A" w:rsidRPr="0065408A">
        <w:rPr>
          <w:rFonts w:ascii="Arial" w:hAnsi="Arial" w:cs="Arial"/>
          <w:sz w:val="24"/>
          <w:szCs w:val="24"/>
          <w:lang w:val="en-US"/>
        </w:rPr>
        <w:t>was</w:t>
      </w:r>
      <w:r w:rsidR="00DB66AC" w:rsidRPr="0065408A">
        <w:rPr>
          <w:rFonts w:ascii="Arial" w:hAnsi="Arial" w:cs="Arial"/>
          <w:sz w:val="24"/>
          <w:szCs w:val="24"/>
          <w:lang w:val="en-US"/>
        </w:rPr>
        <w:t xml:space="preserve"> </w:t>
      </w:r>
      <w:bookmarkStart w:id="5" w:name="_Hlk37690577"/>
      <w:r w:rsidR="00DB66AC" w:rsidRPr="0065408A">
        <w:rPr>
          <w:rFonts w:ascii="Arial" w:hAnsi="Arial" w:cs="Arial"/>
          <w:sz w:val="24"/>
          <w:szCs w:val="24"/>
          <w:lang w:val="en-US"/>
        </w:rPr>
        <w:t>7.6%</w:t>
      </w:r>
      <w:r w:rsidRPr="0065408A">
        <w:rPr>
          <w:rFonts w:ascii="Arial" w:hAnsi="Arial" w:cs="Arial"/>
          <w:sz w:val="24"/>
          <w:szCs w:val="24"/>
          <w:lang w:val="en-US"/>
        </w:rPr>
        <w:t xml:space="preserve"> (</w:t>
      </w:r>
      <w:r w:rsidR="000E319A" w:rsidRPr="0065408A">
        <w:rPr>
          <w:rFonts w:ascii="Arial" w:hAnsi="Arial" w:cs="Arial"/>
          <w:sz w:val="24"/>
          <w:szCs w:val="24"/>
          <w:lang w:val="en-US"/>
        </w:rPr>
        <w:t>WC</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w:t>
      </w:r>
      <w:r w:rsidRPr="0065408A">
        <w:rPr>
          <w:rFonts w:ascii="Arial" w:hAnsi="Arial" w:cs="Arial"/>
          <w:sz w:val="24"/>
          <w:szCs w:val="24"/>
          <w:lang w:val="en-US"/>
        </w:rPr>
        <w:t>men 7.2%; women 7.9%)</w:t>
      </w:r>
      <w:r w:rsidR="00DB66AC" w:rsidRPr="0065408A">
        <w:rPr>
          <w:rFonts w:ascii="Arial" w:hAnsi="Arial" w:cs="Arial"/>
          <w:sz w:val="24"/>
          <w:szCs w:val="24"/>
          <w:lang w:val="en-US"/>
        </w:rPr>
        <w:t>, 5.1%</w:t>
      </w:r>
      <w:r w:rsidRPr="0065408A">
        <w:rPr>
          <w:rFonts w:ascii="Arial" w:hAnsi="Arial" w:cs="Arial"/>
          <w:sz w:val="24"/>
          <w:szCs w:val="24"/>
          <w:lang w:val="en-US"/>
        </w:rPr>
        <w:t xml:space="preserve"> (</w:t>
      </w:r>
      <w:r w:rsidR="00DB3054" w:rsidRPr="0065408A">
        <w:rPr>
          <w:rFonts w:ascii="Arial" w:hAnsi="Arial" w:cs="Arial"/>
          <w:sz w:val="24"/>
          <w:szCs w:val="24"/>
          <w:lang w:val="en-US"/>
        </w:rPr>
        <w:t>PBF</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w:t>
      </w:r>
      <w:r w:rsidRPr="0065408A">
        <w:rPr>
          <w:rFonts w:ascii="Arial" w:hAnsi="Arial" w:cs="Arial"/>
          <w:sz w:val="24"/>
          <w:szCs w:val="24"/>
          <w:lang w:val="en-US"/>
        </w:rPr>
        <w:t>men 4.4%; women 5.7%)</w:t>
      </w:r>
      <w:r w:rsidR="00DB66AC" w:rsidRPr="0065408A">
        <w:rPr>
          <w:rFonts w:ascii="Arial" w:hAnsi="Arial" w:cs="Arial"/>
          <w:sz w:val="24"/>
          <w:szCs w:val="24"/>
          <w:lang w:val="en-US"/>
        </w:rPr>
        <w:t>,</w:t>
      </w:r>
      <w:r w:rsidR="000E319A" w:rsidRPr="0065408A">
        <w:rPr>
          <w:rFonts w:ascii="Arial" w:hAnsi="Arial" w:cs="Arial"/>
          <w:sz w:val="24"/>
          <w:szCs w:val="24"/>
          <w:lang w:val="en-US"/>
        </w:rPr>
        <w:t xml:space="preserve"> </w:t>
      </w:r>
      <w:r w:rsidR="00DB66AC" w:rsidRPr="0065408A">
        <w:rPr>
          <w:rFonts w:ascii="Arial" w:hAnsi="Arial" w:cs="Arial"/>
          <w:sz w:val="24"/>
          <w:szCs w:val="24"/>
          <w:lang w:val="en-US"/>
        </w:rPr>
        <w:t>2.7%</w:t>
      </w:r>
      <w:r w:rsidRPr="0065408A">
        <w:rPr>
          <w:rFonts w:ascii="Arial" w:hAnsi="Arial" w:cs="Arial"/>
          <w:sz w:val="24"/>
          <w:szCs w:val="24"/>
          <w:lang w:val="en-US"/>
        </w:rPr>
        <w:t xml:space="preserve"> (</w:t>
      </w:r>
      <w:r w:rsidR="000E319A" w:rsidRPr="0065408A">
        <w:rPr>
          <w:rFonts w:ascii="Arial" w:hAnsi="Arial" w:cs="Arial"/>
          <w:sz w:val="24"/>
          <w:szCs w:val="24"/>
          <w:lang w:val="en-US"/>
        </w:rPr>
        <w:t>FMI</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w:t>
      </w:r>
      <w:r w:rsidRPr="0065408A">
        <w:rPr>
          <w:rFonts w:ascii="Arial" w:hAnsi="Arial" w:cs="Arial"/>
          <w:sz w:val="24"/>
          <w:szCs w:val="24"/>
          <w:lang w:val="en-US"/>
        </w:rPr>
        <w:t>men 2.2%; women 3.2%)</w:t>
      </w:r>
      <w:r w:rsidR="00DB66AC" w:rsidRPr="0065408A">
        <w:rPr>
          <w:rFonts w:ascii="Arial" w:hAnsi="Arial" w:cs="Arial"/>
          <w:sz w:val="24"/>
          <w:szCs w:val="24"/>
          <w:lang w:val="en-US"/>
        </w:rPr>
        <w:t>, and 1.5%</w:t>
      </w:r>
      <w:r w:rsidRPr="0065408A">
        <w:rPr>
          <w:rFonts w:ascii="Arial" w:hAnsi="Arial" w:cs="Arial"/>
          <w:sz w:val="24"/>
          <w:szCs w:val="24"/>
          <w:lang w:val="en-US"/>
        </w:rPr>
        <w:t xml:space="preserve"> (</w:t>
      </w:r>
      <w:r w:rsidR="000E319A" w:rsidRPr="0065408A">
        <w:rPr>
          <w:rFonts w:ascii="Arial" w:hAnsi="Arial" w:cs="Arial"/>
          <w:sz w:val="24"/>
          <w:szCs w:val="24"/>
          <w:lang w:val="en-US"/>
        </w:rPr>
        <w:t>FM/FFM</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w:t>
      </w:r>
      <w:r w:rsidRPr="0065408A">
        <w:rPr>
          <w:rFonts w:ascii="Arial" w:hAnsi="Arial" w:cs="Arial"/>
          <w:sz w:val="24"/>
          <w:szCs w:val="24"/>
          <w:lang w:val="en-US"/>
        </w:rPr>
        <w:t>men 0%; women 2.</w:t>
      </w:r>
      <w:r w:rsidR="00541B25">
        <w:rPr>
          <w:rFonts w:ascii="Arial" w:hAnsi="Arial" w:cs="Arial"/>
          <w:sz w:val="24"/>
          <w:szCs w:val="24"/>
          <w:lang w:val="en-US"/>
        </w:rPr>
        <w:t>9</w:t>
      </w:r>
      <w:r w:rsidRPr="0065408A">
        <w:rPr>
          <w:rFonts w:ascii="Arial" w:hAnsi="Arial" w:cs="Arial"/>
          <w:sz w:val="24"/>
          <w:szCs w:val="24"/>
          <w:lang w:val="en-US"/>
        </w:rPr>
        <w:t>%).</w:t>
      </w:r>
      <w:bookmarkEnd w:id="5"/>
      <w:r w:rsidRPr="0065408A">
        <w:rPr>
          <w:rFonts w:ascii="Arial" w:hAnsi="Arial" w:cs="Arial"/>
          <w:sz w:val="24"/>
          <w:szCs w:val="24"/>
          <w:lang w:val="en-US"/>
        </w:rPr>
        <w:t xml:space="preserve"> Population</w:t>
      </w:r>
      <w:r w:rsidR="000E319A" w:rsidRPr="0065408A">
        <w:rPr>
          <w:rFonts w:ascii="Arial" w:hAnsi="Arial" w:cs="Arial"/>
          <w:sz w:val="24"/>
          <w:szCs w:val="24"/>
          <w:lang w:val="en-US"/>
        </w:rPr>
        <w:t>-</w:t>
      </w:r>
      <w:r w:rsidRPr="0065408A">
        <w:rPr>
          <w:rFonts w:ascii="Arial" w:hAnsi="Arial" w:cs="Arial"/>
          <w:sz w:val="24"/>
          <w:szCs w:val="24"/>
          <w:lang w:val="en-US"/>
        </w:rPr>
        <w:t>adjusted prevalence</w:t>
      </w:r>
      <w:r w:rsidR="000E319A" w:rsidRPr="0065408A">
        <w:rPr>
          <w:rFonts w:ascii="Arial" w:hAnsi="Arial" w:cs="Arial"/>
          <w:sz w:val="24"/>
          <w:szCs w:val="24"/>
          <w:lang w:val="en-US"/>
        </w:rPr>
        <w:t xml:space="preserve"> of SO</w:t>
      </w:r>
      <w:r w:rsidRPr="0065408A">
        <w:rPr>
          <w:rFonts w:ascii="Arial" w:hAnsi="Arial" w:cs="Arial"/>
          <w:sz w:val="24"/>
          <w:szCs w:val="24"/>
          <w:lang w:val="en-US"/>
        </w:rPr>
        <w:t xml:space="preserve"> for older adults (≥60 years) </w:t>
      </w:r>
      <w:r w:rsidR="00991E4A" w:rsidRPr="0065408A">
        <w:rPr>
          <w:rFonts w:ascii="Arial" w:hAnsi="Arial" w:cs="Arial"/>
          <w:sz w:val="24"/>
          <w:szCs w:val="24"/>
          <w:lang w:val="en-US"/>
        </w:rPr>
        <w:t>was</w:t>
      </w:r>
      <w:r w:rsidR="000E319A" w:rsidRPr="0065408A">
        <w:rPr>
          <w:rFonts w:ascii="Arial" w:hAnsi="Arial" w:cs="Arial"/>
          <w:sz w:val="24"/>
          <w:szCs w:val="24"/>
          <w:lang w:val="en-US"/>
        </w:rPr>
        <w:t xml:space="preserve"> 21.6% (WC</w:t>
      </w:r>
      <w:r w:rsidR="007510A4" w:rsidRPr="0065408A">
        <w:rPr>
          <w:rFonts w:ascii="Arial" w:hAnsi="Arial" w:cs="Arial"/>
          <w:sz w:val="24"/>
          <w:szCs w:val="24"/>
          <w:lang w:val="en-US"/>
        </w:rPr>
        <w:t>-based</w:t>
      </w:r>
      <w:r w:rsidR="000E319A" w:rsidRPr="0065408A">
        <w:rPr>
          <w:rFonts w:ascii="Arial" w:hAnsi="Arial" w:cs="Arial"/>
          <w:sz w:val="24"/>
          <w:szCs w:val="24"/>
          <w:lang w:val="en-US"/>
        </w:rPr>
        <w:t>), 16.1% (</w:t>
      </w:r>
      <w:r w:rsidR="00DB3054" w:rsidRPr="0065408A">
        <w:rPr>
          <w:rFonts w:ascii="Arial" w:hAnsi="Arial" w:cs="Arial"/>
          <w:sz w:val="24"/>
          <w:szCs w:val="24"/>
          <w:lang w:val="en-US"/>
        </w:rPr>
        <w:t>PBF</w:t>
      </w:r>
      <w:r w:rsidR="007510A4" w:rsidRPr="0065408A">
        <w:rPr>
          <w:rFonts w:ascii="Arial" w:hAnsi="Arial" w:cs="Arial"/>
          <w:sz w:val="24"/>
          <w:szCs w:val="24"/>
          <w:lang w:val="en-US"/>
        </w:rPr>
        <w:t>-based</w:t>
      </w:r>
      <w:r w:rsidR="000E319A" w:rsidRPr="0065408A">
        <w:rPr>
          <w:rFonts w:ascii="Arial" w:hAnsi="Arial" w:cs="Arial"/>
          <w:sz w:val="24"/>
          <w:szCs w:val="24"/>
          <w:lang w:val="en-US"/>
        </w:rPr>
        <w:t>), 9.5% (FMI</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and </w:t>
      </w:r>
      <w:r w:rsidR="00541B25">
        <w:rPr>
          <w:rFonts w:ascii="Arial" w:hAnsi="Arial" w:cs="Arial"/>
          <w:sz w:val="24"/>
          <w:szCs w:val="24"/>
          <w:lang w:val="en-US"/>
        </w:rPr>
        <w:t>3.7</w:t>
      </w:r>
      <w:r w:rsidR="000E319A" w:rsidRPr="0065408A">
        <w:rPr>
          <w:rFonts w:ascii="Arial" w:hAnsi="Arial" w:cs="Arial"/>
          <w:sz w:val="24"/>
          <w:szCs w:val="24"/>
          <w:lang w:val="en-US"/>
        </w:rPr>
        <w:t>% (FM/FFM</w:t>
      </w:r>
      <w:r w:rsidR="007510A4" w:rsidRPr="0065408A">
        <w:rPr>
          <w:rFonts w:ascii="Arial" w:hAnsi="Arial" w:cs="Arial"/>
          <w:sz w:val="24"/>
          <w:szCs w:val="24"/>
          <w:lang w:val="en-US"/>
        </w:rPr>
        <w:t>-based</w:t>
      </w:r>
      <w:r w:rsidR="000E319A" w:rsidRPr="0065408A">
        <w:rPr>
          <w:rFonts w:ascii="Arial" w:hAnsi="Arial" w:cs="Arial"/>
          <w:sz w:val="24"/>
          <w:szCs w:val="24"/>
          <w:lang w:val="en-US"/>
        </w:rPr>
        <w:t xml:space="preserve">; </w:t>
      </w:r>
      <w:r w:rsidR="00164283" w:rsidRPr="0065408A">
        <w:rPr>
          <w:rFonts w:ascii="Arial" w:hAnsi="Arial" w:cs="Arial"/>
          <w:b/>
          <w:bCs/>
          <w:sz w:val="24"/>
          <w:szCs w:val="24"/>
          <w:lang w:val="en-US"/>
        </w:rPr>
        <w:t>Table 3</w:t>
      </w:r>
      <w:r w:rsidR="001534F6" w:rsidRPr="0065408A">
        <w:rPr>
          <w:rFonts w:ascii="Arial" w:hAnsi="Arial" w:cs="Arial"/>
          <w:b/>
          <w:bCs/>
          <w:sz w:val="24"/>
          <w:szCs w:val="24"/>
          <w:lang w:val="en-US"/>
        </w:rPr>
        <w:t>.</w:t>
      </w:r>
      <w:r w:rsidR="00122BD5" w:rsidRPr="0065408A">
        <w:rPr>
          <w:rFonts w:ascii="Arial" w:hAnsi="Arial" w:cs="Arial"/>
          <w:sz w:val="24"/>
          <w:szCs w:val="24"/>
          <w:lang w:val="en-US"/>
        </w:rPr>
        <w:t>).</w:t>
      </w:r>
      <w:r w:rsidR="000E319A" w:rsidRPr="0065408A">
        <w:rPr>
          <w:rFonts w:ascii="Arial" w:hAnsi="Arial" w:cs="Arial"/>
          <w:sz w:val="24"/>
          <w:szCs w:val="24"/>
          <w:lang w:val="en-US"/>
        </w:rPr>
        <w:t xml:space="preserve"> </w:t>
      </w:r>
    </w:p>
    <w:p w14:paraId="0BBCF402" w14:textId="6AE9AF4A" w:rsidR="000E319A" w:rsidRPr="0065408A" w:rsidRDefault="000E319A" w:rsidP="00830047">
      <w:pPr>
        <w:spacing w:after="0" w:line="480" w:lineRule="auto"/>
        <w:rPr>
          <w:rFonts w:ascii="Arial" w:hAnsi="Arial" w:cs="Arial"/>
          <w:sz w:val="24"/>
          <w:szCs w:val="24"/>
          <w:lang w:val="en-US"/>
        </w:rPr>
      </w:pPr>
    </w:p>
    <w:p w14:paraId="21F69D6D" w14:textId="4799F018" w:rsidR="000E319A" w:rsidRPr="0065408A" w:rsidRDefault="00095639" w:rsidP="00830047">
      <w:pPr>
        <w:spacing w:after="0" w:line="480" w:lineRule="auto"/>
        <w:rPr>
          <w:rFonts w:ascii="Arial" w:hAnsi="Arial" w:cs="Arial"/>
          <w:i/>
          <w:iCs/>
          <w:sz w:val="24"/>
          <w:szCs w:val="24"/>
          <w:lang w:val="en-US"/>
        </w:rPr>
      </w:pPr>
      <w:r w:rsidRPr="0065408A">
        <w:rPr>
          <w:rFonts w:ascii="Arial" w:hAnsi="Arial" w:cs="Arial"/>
          <w:i/>
          <w:iCs/>
          <w:sz w:val="24"/>
          <w:szCs w:val="24"/>
          <w:lang w:val="en-US"/>
        </w:rPr>
        <w:t>Participant Characteristics and Sarcopenic Obesity</w:t>
      </w:r>
    </w:p>
    <w:p w14:paraId="224ADD55" w14:textId="25EB263D" w:rsidR="00496E44" w:rsidRPr="0065408A" w:rsidRDefault="00295861"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Across all four </w:t>
      </w:r>
      <w:r w:rsidR="007510A4" w:rsidRPr="0065408A">
        <w:rPr>
          <w:rFonts w:ascii="Arial" w:hAnsi="Arial" w:cs="Arial"/>
          <w:sz w:val="24"/>
          <w:szCs w:val="24"/>
          <w:lang w:val="en-US"/>
        </w:rPr>
        <w:t xml:space="preserve">obesity </w:t>
      </w:r>
      <w:r w:rsidR="00F82041" w:rsidRPr="0065408A">
        <w:rPr>
          <w:rFonts w:ascii="Arial" w:hAnsi="Arial" w:cs="Arial"/>
          <w:sz w:val="24"/>
          <w:szCs w:val="24"/>
          <w:lang w:val="en-US"/>
        </w:rPr>
        <w:t>measures</w:t>
      </w:r>
      <w:r w:rsidRPr="0065408A">
        <w:rPr>
          <w:rFonts w:ascii="Arial" w:hAnsi="Arial" w:cs="Arial"/>
          <w:sz w:val="24"/>
          <w:szCs w:val="24"/>
          <w:lang w:val="en-US"/>
        </w:rPr>
        <w:t xml:space="preserve">, the SO phenotypes had higher age compared to the </w:t>
      </w:r>
      <w:r w:rsidR="00656341">
        <w:rPr>
          <w:rFonts w:ascii="Arial" w:hAnsi="Arial" w:cs="Arial"/>
          <w:sz w:val="24"/>
          <w:szCs w:val="24"/>
          <w:lang w:val="en-US"/>
        </w:rPr>
        <w:t xml:space="preserve">overall </w:t>
      </w:r>
      <w:r w:rsidR="00E61673">
        <w:rPr>
          <w:rFonts w:ascii="Arial" w:hAnsi="Arial" w:cs="Arial"/>
          <w:sz w:val="24"/>
          <w:szCs w:val="24"/>
          <w:lang w:val="en-US"/>
        </w:rPr>
        <w:t>sample</w:t>
      </w:r>
      <w:r w:rsidRPr="0065408A">
        <w:rPr>
          <w:rFonts w:ascii="Arial" w:hAnsi="Arial" w:cs="Arial"/>
          <w:sz w:val="24"/>
          <w:szCs w:val="24"/>
          <w:lang w:val="en-US"/>
        </w:rPr>
        <w:t xml:space="preserve"> </w:t>
      </w:r>
      <w:r w:rsidR="00095639" w:rsidRPr="0065408A">
        <w:rPr>
          <w:rFonts w:ascii="Arial" w:hAnsi="Arial" w:cs="Arial"/>
          <w:sz w:val="24"/>
          <w:szCs w:val="24"/>
          <w:lang w:val="en-US"/>
        </w:rPr>
        <w:t>(</w:t>
      </w:r>
      <w:r w:rsidRPr="0065408A">
        <w:rPr>
          <w:rFonts w:ascii="Arial" w:hAnsi="Arial" w:cs="Arial"/>
          <w:b/>
          <w:bCs/>
          <w:sz w:val="24"/>
          <w:szCs w:val="24"/>
          <w:lang w:val="en-US"/>
        </w:rPr>
        <w:t xml:space="preserve">Table </w:t>
      </w:r>
      <w:r w:rsidR="00164283" w:rsidRPr="0065408A">
        <w:rPr>
          <w:rFonts w:ascii="Arial" w:hAnsi="Arial" w:cs="Arial"/>
          <w:b/>
          <w:bCs/>
          <w:sz w:val="24"/>
          <w:szCs w:val="24"/>
          <w:lang w:val="en-US"/>
        </w:rPr>
        <w:t>4</w:t>
      </w:r>
      <w:r w:rsidRPr="0065408A">
        <w:rPr>
          <w:rFonts w:ascii="Arial" w:hAnsi="Arial" w:cs="Arial"/>
          <w:b/>
          <w:bCs/>
          <w:sz w:val="24"/>
          <w:szCs w:val="24"/>
          <w:lang w:val="en-US"/>
        </w:rPr>
        <w:t>.</w:t>
      </w:r>
      <w:r w:rsidRPr="0065408A">
        <w:rPr>
          <w:rFonts w:ascii="Arial" w:hAnsi="Arial" w:cs="Arial"/>
          <w:sz w:val="24"/>
          <w:szCs w:val="24"/>
          <w:lang w:val="en-US"/>
        </w:rPr>
        <w:t xml:space="preserve">). </w:t>
      </w:r>
      <w:r w:rsidR="00FD6574" w:rsidRPr="0065408A">
        <w:rPr>
          <w:rFonts w:ascii="Arial" w:hAnsi="Arial" w:cs="Arial"/>
          <w:sz w:val="24"/>
          <w:szCs w:val="24"/>
          <w:lang w:val="en-US"/>
        </w:rPr>
        <w:t xml:space="preserve">Individuals with the lowest education levels, </w:t>
      </w:r>
      <w:r w:rsidR="00991E4A" w:rsidRPr="0065408A">
        <w:rPr>
          <w:rFonts w:ascii="Arial" w:hAnsi="Arial" w:cs="Arial"/>
          <w:sz w:val="24"/>
          <w:szCs w:val="24"/>
          <w:lang w:val="en-US"/>
        </w:rPr>
        <w:t>smallest housing types</w:t>
      </w:r>
      <w:r w:rsidR="00FD6574" w:rsidRPr="0065408A">
        <w:rPr>
          <w:rFonts w:ascii="Arial" w:hAnsi="Arial" w:cs="Arial"/>
          <w:sz w:val="24"/>
          <w:szCs w:val="24"/>
          <w:lang w:val="en-US"/>
        </w:rPr>
        <w:t>, lived alone, were widowed</w:t>
      </w:r>
      <w:r w:rsidR="00991E4A" w:rsidRPr="0065408A">
        <w:rPr>
          <w:rFonts w:ascii="Arial" w:hAnsi="Arial" w:cs="Arial"/>
          <w:sz w:val="24"/>
          <w:szCs w:val="24"/>
          <w:lang w:val="en-US"/>
        </w:rPr>
        <w:t>, had diabetes, hypertension or high cholesterol,</w:t>
      </w:r>
      <w:r w:rsidR="00FD6574" w:rsidRPr="0065408A">
        <w:rPr>
          <w:rFonts w:ascii="Arial" w:hAnsi="Arial" w:cs="Arial"/>
          <w:sz w:val="24"/>
          <w:szCs w:val="24"/>
          <w:lang w:val="en-US"/>
        </w:rPr>
        <w:t xml:space="preserve"> or had one or more medical conditions were more likely to have SO. </w:t>
      </w:r>
      <w:r w:rsidR="00E5200A">
        <w:rPr>
          <w:rFonts w:ascii="Arial" w:hAnsi="Arial" w:cs="Arial"/>
          <w:sz w:val="24"/>
          <w:szCs w:val="24"/>
          <w:lang w:val="en-US"/>
        </w:rPr>
        <w:t xml:space="preserve">Individuals who smoked </w:t>
      </w:r>
      <w:r w:rsidR="00D80598" w:rsidRPr="0065408A">
        <w:rPr>
          <w:rFonts w:ascii="Arial" w:hAnsi="Arial" w:cs="Arial"/>
          <w:sz w:val="24"/>
          <w:szCs w:val="24"/>
          <w:lang w:val="en-US"/>
        </w:rPr>
        <w:t>were more likely to have</w:t>
      </w:r>
      <w:r w:rsidR="00496E44" w:rsidRPr="0065408A">
        <w:rPr>
          <w:rFonts w:ascii="Arial" w:hAnsi="Arial" w:cs="Arial"/>
          <w:sz w:val="24"/>
          <w:szCs w:val="24"/>
          <w:lang w:val="en-US"/>
        </w:rPr>
        <w:t xml:space="preserve"> SO using the </w:t>
      </w:r>
      <w:r w:rsidR="00DB3054" w:rsidRPr="0065408A">
        <w:rPr>
          <w:rFonts w:ascii="Arial" w:hAnsi="Arial" w:cs="Arial"/>
          <w:sz w:val="24"/>
          <w:szCs w:val="24"/>
          <w:lang w:val="en-US"/>
        </w:rPr>
        <w:t>PBF</w:t>
      </w:r>
      <w:r w:rsidR="00496E44" w:rsidRPr="0065408A">
        <w:rPr>
          <w:rFonts w:ascii="Arial" w:hAnsi="Arial" w:cs="Arial"/>
          <w:sz w:val="24"/>
          <w:szCs w:val="24"/>
          <w:lang w:val="en-US"/>
        </w:rPr>
        <w:t xml:space="preserve"> and FMI phenotypes</w:t>
      </w:r>
      <w:r w:rsidR="00D80598" w:rsidRPr="0065408A">
        <w:rPr>
          <w:rFonts w:ascii="Arial" w:hAnsi="Arial" w:cs="Arial"/>
          <w:sz w:val="24"/>
          <w:szCs w:val="24"/>
          <w:lang w:val="en-US"/>
        </w:rPr>
        <w:t>,</w:t>
      </w:r>
      <w:r w:rsidR="00496E44" w:rsidRPr="0065408A">
        <w:rPr>
          <w:rFonts w:ascii="Arial" w:hAnsi="Arial" w:cs="Arial"/>
          <w:sz w:val="24"/>
          <w:szCs w:val="24"/>
          <w:lang w:val="en-US"/>
        </w:rPr>
        <w:t xml:space="preserve"> while </w:t>
      </w:r>
      <w:r w:rsidR="00C72E71">
        <w:rPr>
          <w:rFonts w:ascii="Arial" w:hAnsi="Arial" w:cs="Arial"/>
          <w:sz w:val="24"/>
          <w:szCs w:val="24"/>
          <w:lang w:val="en-US"/>
        </w:rPr>
        <w:t>individuals who drank</w:t>
      </w:r>
      <w:r w:rsidR="00D80598" w:rsidRPr="0065408A">
        <w:rPr>
          <w:rFonts w:ascii="Arial" w:hAnsi="Arial" w:cs="Arial"/>
          <w:sz w:val="24"/>
          <w:szCs w:val="24"/>
          <w:lang w:val="en-US"/>
        </w:rPr>
        <w:t xml:space="preserve"> were more likely to have</w:t>
      </w:r>
      <w:r w:rsidR="00496E44" w:rsidRPr="0065408A">
        <w:rPr>
          <w:rFonts w:ascii="Arial" w:hAnsi="Arial" w:cs="Arial"/>
          <w:sz w:val="24"/>
          <w:szCs w:val="24"/>
          <w:lang w:val="en-US"/>
        </w:rPr>
        <w:t xml:space="preserve"> SO using the WC, </w:t>
      </w:r>
      <w:r w:rsidR="00DB3054" w:rsidRPr="0065408A">
        <w:rPr>
          <w:rFonts w:ascii="Arial" w:hAnsi="Arial" w:cs="Arial"/>
          <w:sz w:val="24"/>
          <w:szCs w:val="24"/>
          <w:lang w:val="en-US"/>
        </w:rPr>
        <w:lastRenderedPageBreak/>
        <w:t>PBF</w:t>
      </w:r>
      <w:r w:rsidR="00496E44" w:rsidRPr="0065408A">
        <w:rPr>
          <w:rFonts w:ascii="Arial" w:hAnsi="Arial" w:cs="Arial"/>
          <w:sz w:val="24"/>
          <w:szCs w:val="24"/>
          <w:lang w:val="en-US"/>
        </w:rPr>
        <w:t xml:space="preserve"> and FMI phenotypes. </w:t>
      </w:r>
      <w:r w:rsidRPr="0065408A">
        <w:rPr>
          <w:rFonts w:ascii="Arial" w:hAnsi="Arial" w:cs="Arial"/>
          <w:sz w:val="24"/>
          <w:szCs w:val="24"/>
          <w:lang w:val="en-US"/>
        </w:rPr>
        <w:t>The FM/FFM</w:t>
      </w:r>
      <w:r w:rsidR="007510A4" w:rsidRPr="0065408A">
        <w:rPr>
          <w:rFonts w:ascii="Arial" w:hAnsi="Arial" w:cs="Arial"/>
          <w:sz w:val="24"/>
          <w:szCs w:val="24"/>
          <w:lang w:val="en-US"/>
        </w:rPr>
        <w:t>-based</w:t>
      </w:r>
      <w:r w:rsidRPr="0065408A">
        <w:rPr>
          <w:rFonts w:ascii="Arial" w:hAnsi="Arial" w:cs="Arial"/>
          <w:sz w:val="24"/>
          <w:szCs w:val="24"/>
          <w:lang w:val="en-US"/>
        </w:rPr>
        <w:t xml:space="preserve"> definition </w:t>
      </w:r>
      <w:r w:rsidR="00840F33">
        <w:rPr>
          <w:rFonts w:ascii="Arial" w:hAnsi="Arial" w:cs="Arial"/>
          <w:sz w:val="24"/>
          <w:szCs w:val="24"/>
          <w:lang w:val="en-US"/>
        </w:rPr>
        <w:t>did not identify any</w:t>
      </w:r>
      <w:r w:rsidRPr="0065408A">
        <w:rPr>
          <w:rFonts w:ascii="Arial" w:hAnsi="Arial" w:cs="Arial"/>
          <w:sz w:val="24"/>
          <w:szCs w:val="24"/>
          <w:lang w:val="en-US"/>
        </w:rPr>
        <w:t xml:space="preserve"> males with SO (</w:t>
      </w:r>
      <w:r w:rsidR="00840F33">
        <w:rPr>
          <w:rFonts w:ascii="Arial" w:hAnsi="Arial" w:cs="Arial"/>
          <w:sz w:val="24"/>
          <w:szCs w:val="24"/>
          <w:lang w:val="en-US"/>
        </w:rPr>
        <w:t>0</w:t>
      </w:r>
      <w:r w:rsidRPr="0065408A">
        <w:rPr>
          <w:rFonts w:ascii="Arial" w:hAnsi="Arial" w:cs="Arial"/>
          <w:sz w:val="24"/>
          <w:szCs w:val="24"/>
          <w:lang w:val="en-US"/>
        </w:rPr>
        <w:t xml:space="preserve">%). </w:t>
      </w:r>
    </w:p>
    <w:p w14:paraId="4F7E2301" w14:textId="3511C6A3" w:rsidR="00496E44" w:rsidRPr="0065408A" w:rsidRDefault="00496E44" w:rsidP="00830047">
      <w:pPr>
        <w:spacing w:after="0" w:line="480" w:lineRule="auto"/>
        <w:rPr>
          <w:rFonts w:ascii="Arial" w:hAnsi="Arial" w:cs="Arial"/>
          <w:sz w:val="24"/>
          <w:szCs w:val="24"/>
          <w:lang w:val="en-US"/>
        </w:rPr>
      </w:pPr>
    </w:p>
    <w:p w14:paraId="05FE3CED" w14:textId="1D56986C" w:rsidR="00496E44" w:rsidRPr="0065408A" w:rsidRDefault="006D7CED" w:rsidP="00830047">
      <w:pPr>
        <w:spacing w:after="0" w:line="480" w:lineRule="auto"/>
        <w:rPr>
          <w:rFonts w:ascii="Arial" w:hAnsi="Arial" w:cs="Arial"/>
          <w:i/>
          <w:iCs/>
          <w:sz w:val="24"/>
          <w:szCs w:val="24"/>
          <w:lang w:val="en-US"/>
        </w:rPr>
      </w:pPr>
      <w:r w:rsidRPr="0065408A">
        <w:rPr>
          <w:rFonts w:ascii="Arial" w:hAnsi="Arial" w:cs="Arial"/>
          <w:i/>
          <w:iCs/>
          <w:sz w:val="24"/>
          <w:szCs w:val="24"/>
          <w:lang w:val="en-US"/>
        </w:rPr>
        <w:t>Muscle Function</w:t>
      </w:r>
      <w:r w:rsidR="00CD2093">
        <w:rPr>
          <w:rFonts w:ascii="Arial" w:hAnsi="Arial" w:cs="Arial"/>
          <w:i/>
          <w:iCs/>
          <w:sz w:val="24"/>
          <w:szCs w:val="24"/>
          <w:lang w:val="en-US"/>
        </w:rPr>
        <w:t xml:space="preserve"> (ANOVA)</w:t>
      </w:r>
    </w:p>
    <w:p w14:paraId="24C7591C" w14:textId="2F6CFBF7" w:rsidR="006D7CED" w:rsidRPr="0065408A" w:rsidRDefault="006D7CED"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The sarcopenic and SO phenotypes consistently performed poorer than the normal group </w:t>
      </w:r>
      <w:r w:rsidR="00840F33">
        <w:rPr>
          <w:rFonts w:ascii="Arial" w:hAnsi="Arial" w:cs="Arial"/>
          <w:sz w:val="24"/>
          <w:szCs w:val="24"/>
          <w:lang w:val="en-US"/>
        </w:rPr>
        <w:t>in</w:t>
      </w:r>
      <w:r w:rsidRPr="0065408A">
        <w:rPr>
          <w:rFonts w:ascii="Arial" w:hAnsi="Arial" w:cs="Arial"/>
          <w:sz w:val="24"/>
          <w:szCs w:val="24"/>
          <w:lang w:val="en-US"/>
        </w:rPr>
        <w:t xml:space="preserve"> functional measures </w:t>
      </w:r>
      <w:r w:rsidR="00840F33">
        <w:rPr>
          <w:rFonts w:ascii="Arial" w:hAnsi="Arial" w:cs="Arial"/>
          <w:sz w:val="24"/>
          <w:szCs w:val="24"/>
          <w:lang w:val="en-US"/>
        </w:rPr>
        <w:t>and across</w:t>
      </w:r>
      <w:r w:rsidRPr="0065408A">
        <w:rPr>
          <w:rFonts w:ascii="Arial" w:hAnsi="Arial" w:cs="Arial"/>
          <w:sz w:val="24"/>
          <w:szCs w:val="24"/>
          <w:lang w:val="en-US"/>
        </w:rPr>
        <w:t xml:space="preserve"> obesity </w:t>
      </w:r>
      <w:r w:rsidR="00840F33">
        <w:rPr>
          <w:rFonts w:ascii="Arial" w:hAnsi="Arial" w:cs="Arial"/>
          <w:sz w:val="24"/>
          <w:szCs w:val="24"/>
          <w:lang w:val="en-US"/>
        </w:rPr>
        <w:t xml:space="preserve">definitions </w:t>
      </w:r>
      <w:r w:rsidR="00840F33" w:rsidRPr="0065408A">
        <w:rPr>
          <w:rFonts w:ascii="Arial" w:hAnsi="Arial" w:cs="Arial"/>
          <w:sz w:val="24"/>
          <w:szCs w:val="24"/>
          <w:lang w:val="en-US"/>
        </w:rPr>
        <w:t>(</w:t>
      </w:r>
      <w:r w:rsidR="00840F33" w:rsidRPr="0065408A">
        <w:rPr>
          <w:rFonts w:ascii="Arial" w:hAnsi="Arial" w:cs="Arial"/>
          <w:i/>
          <w:iCs/>
          <w:sz w:val="24"/>
          <w:szCs w:val="24"/>
          <w:lang w:val="en-US"/>
        </w:rPr>
        <w:t>p</w:t>
      </w:r>
      <w:r w:rsidR="00840F33" w:rsidRPr="0065408A">
        <w:rPr>
          <w:rFonts w:ascii="Arial" w:hAnsi="Arial" w:cs="Arial"/>
          <w:sz w:val="24"/>
          <w:szCs w:val="24"/>
          <w:lang w:val="en-US"/>
        </w:rPr>
        <w:t xml:space="preserve">&lt;0.05, </w:t>
      </w:r>
      <w:r w:rsidR="00840F33" w:rsidRPr="0065408A">
        <w:rPr>
          <w:rFonts w:ascii="Arial" w:hAnsi="Arial" w:cs="Arial"/>
          <w:b/>
          <w:bCs/>
          <w:sz w:val="24"/>
          <w:szCs w:val="24"/>
          <w:lang w:val="en-US"/>
        </w:rPr>
        <w:t>Table 5.</w:t>
      </w:r>
      <w:r w:rsidR="00840F33" w:rsidRPr="0065408A">
        <w:rPr>
          <w:rFonts w:ascii="Arial" w:hAnsi="Arial" w:cs="Arial"/>
          <w:sz w:val="24"/>
          <w:szCs w:val="24"/>
          <w:lang w:val="en-US"/>
        </w:rPr>
        <w:t>)</w:t>
      </w:r>
      <w:r w:rsidR="00840F33">
        <w:rPr>
          <w:rFonts w:ascii="Arial" w:hAnsi="Arial" w:cs="Arial"/>
          <w:sz w:val="24"/>
          <w:szCs w:val="24"/>
          <w:lang w:val="en-US"/>
        </w:rPr>
        <w:t>, except for the FM/FFM-based definition</w:t>
      </w:r>
      <w:r w:rsidR="00164283" w:rsidRPr="0065408A">
        <w:rPr>
          <w:rFonts w:ascii="Arial" w:hAnsi="Arial" w:cs="Arial"/>
          <w:sz w:val="24"/>
          <w:szCs w:val="24"/>
          <w:lang w:val="en-US"/>
        </w:rPr>
        <w:t>.</w:t>
      </w:r>
      <w:r w:rsidRPr="0065408A">
        <w:rPr>
          <w:rFonts w:ascii="Arial" w:hAnsi="Arial" w:cs="Arial"/>
          <w:sz w:val="24"/>
          <w:szCs w:val="24"/>
          <w:lang w:val="en-US"/>
        </w:rPr>
        <w:t xml:space="preserve"> The SO phenotype also persistently performed poorer than the obese group </w:t>
      </w:r>
      <w:bookmarkStart w:id="6" w:name="_Hlk37690702"/>
      <w:r w:rsidR="00D16E7B" w:rsidRPr="0065408A">
        <w:rPr>
          <w:rFonts w:ascii="Arial" w:hAnsi="Arial" w:cs="Arial"/>
          <w:sz w:val="24"/>
          <w:szCs w:val="24"/>
          <w:lang w:val="en-US"/>
        </w:rPr>
        <w:t>(</w:t>
      </w:r>
      <w:r w:rsidR="00D16E7B" w:rsidRPr="0065408A">
        <w:rPr>
          <w:rFonts w:ascii="Arial" w:hAnsi="Arial" w:cs="Arial"/>
          <w:i/>
          <w:iCs/>
          <w:sz w:val="24"/>
          <w:szCs w:val="24"/>
          <w:lang w:val="en-US"/>
        </w:rPr>
        <w:t>p</w:t>
      </w:r>
      <w:r w:rsidR="00D16E7B" w:rsidRPr="0065408A">
        <w:rPr>
          <w:rFonts w:ascii="Arial" w:hAnsi="Arial" w:cs="Arial"/>
          <w:sz w:val="24"/>
          <w:szCs w:val="24"/>
          <w:lang w:val="en-US"/>
        </w:rPr>
        <w:t>&lt;</w:t>
      </w:r>
      <w:r w:rsidR="0065408A" w:rsidRPr="0065408A">
        <w:rPr>
          <w:rFonts w:ascii="Arial" w:hAnsi="Arial" w:cs="Arial"/>
          <w:sz w:val="24"/>
          <w:szCs w:val="24"/>
          <w:lang w:val="en-US"/>
        </w:rPr>
        <w:t>0</w:t>
      </w:r>
      <w:r w:rsidR="00D16E7B" w:rsidRPr="0065408A">
        <w:rPr>
          <w:rFonts w:ascii="Arial" w:hAnsi="Arial" w:cs="Arial"/>
          <w:sz w:val="24"/>
          <w:szCs w:val="24"/>
          <w:lang w:val="en-US"/>
        </w:rPr>
        <w:t>.05), except for the FM/FFM</w:t>
      </w:r>
      <w:r w:rsidR="00C36E60" w:rsidRPr="0065408A">
        <w:rPr>
          <w:rFonts w:ascii="Arial" w:hAnsi="Arial" w:cs="Arial"/>
          <w:sz w:val="24"/>
          <w:szCs w:val="24"/>
          <w:lang w:val="en-US"/>
        </w:rPr>
        <w:t>-based</w:t>
      </w:r>
      <w:r w:rsidR="00D16E7B" w:rsidRPr="0065408A">
        <w:rPr>
          <w:rFonts w:ascii="Arial" w:hAnsi="Arial" w:cs="Arial"/>
          <w:sz w:val="24"/>
          <w:szCs w:val="24"/>
          <w:lang w:val="en-US"/>
        </w:rPr>
        <w:t xml:space="preserve"> definition.</w:t>
      </w:r>
      <w:bookmarkEnd w:id="6"/>
      <w:r w:rsidR="00D16E7B" w:rsidRPr="0065408A">
        <w:rPr>
          <w:rFonts w:ascii="Arial" w:hAnsi="Arial" w:cs="Arial"/>
          <w:sz w:val="24"/>
          <w:szCs w:val="24"/>
          <w:lang w:val="en-US"/>
        </w:rPr>
        <w:t xml:space="preserve"> </w:t>
      </w:r>
      <w:r w:rsidR="00E539CD" w:rsidRPr="0065408A">
        <w:rPr>
          <w:rFonts w:ascii="Arial" w:hAnsi="Arial" w:cs="Arial"/>
          <w:sz w:val="24"/>
          <w:szCs w:val="24"/>
          <w:lang w:val="en-US"/>
        </w:rPr>
        <w:t>U</w:t>
      </w:r>
      <w:r w:rsidR="00D16E7B" w:rsidRPr="0065408A">
        <w:rPr>
          <w:rFonts w:ascii="Arial" w:hAnsi="Arial" w:cs="Arial"/>
          <w:sz w:val="24"/>
          <w:szCs w:val="24"/>
          <w:lang w:val="en-US"/>
        </w:rPr>
        <w:t xml:space="preserve">sing the </w:t>
      </w:r>
      <w:r w:rsidR="00DB3054" w:rsidRPr="0065408A">
        <w:rPr>
          <w:rFonts w:ascii="Arial" w:hAnsi="Arial" w:cs="Arial"/>
          <w:sz w:val="24"/>
          <w:szCs w:val="24"/>
          <w:lang w:val="en-US"/>
        </w:rPr>
        <w:t>PBF</w:t>
      </w:r>
      <w:r w:rsidR="00C36E60" w:rsidRPr="0065408A">
        <w:rPr>
          <w:rFonts w:ascii="Arial" w:hAnsi="Arial" w:cs="Arial"/>
          <w:sz w:val="24"/>
          <w:szCs w:val="24"/>
          <w:lang w:val="en-US"/>
        </w:rPr>
        <w:t>-based</w:t>
      </w:r>
      <w:r w:rsidR="00D16E7B" w:rsidRPr="0065408A">
        <w:rPr>
          <w:rFonts w:ascii="Arial" w:hAnsi="Arial" w:cs="Arial"/>
          <w:sz w:val="24"/>
          <w:szCs w:val="24"/>
          <w:lang w:val="en-US"/>
        </w:rPr>
        <w:t xml:space="preserve"> and FMI</w:t>
      </w:r>
      <w:r w:rsidR="00C36E60" w:rsidRPr="0065408A">
        <w:rPr>
          <w:rFonts w:ascii="Arial" w:hAnsi="Arial" w:cs="Arial"/>
          <w:sz w:val="24"/>
          <w:szCs w:val="24"/>
          <w:lang w:val="en-US"/>
        </w:rPr>
        <w:t>-based</w:t>
      </w:r>
      <w:r w:rsidR="00D16E7B" w:rsidRPr="0065408A">
        <w:rPr>
          <w:rFonts w:ascii="Arial" w:hAnsi="Arial" w:cs="Arial"/>
          <w:sz w:val="24"/>
          <w:szCs w:val="24"/>
          <w:lang w:val="en-US"/>
        </w:rPr>
        <w:t xml:space="preserve"> definitions, the SO phenotype performed poorer than the sarcopenic phenotype in SPPB and TUG (</w:t>
      </w:r>
      <w:r w:rsidR="00D16E7B" w:rsidRPr="0065408A">
        <w:rPr>
          <w:rFonts w:ascii="Arial" w:hAnsi="Arial" w:cs="Arial"/>
          <w:i/>
          <w:iCs/>
          <w:sz w:val="24"/>
          <w:szCs w:val="24"/>
          <w:lang w:val="en-US"/>
        </w:rPr>
        <w:t>p</w:t>
      </w:r>
      <w:r w:rsidR="00D16E7B" w:rsidRPr="0065408A">
        <w:rPr>
          <w:rFonts w:ascii="Arial" w:hAnsi="Arial" w:cs="Arial"/>
          <w:sz w:val="24"/>
          <w:szCs w:val="24"/>
          <w:lang w:val="en-US"/>
        </w:rPr>
        <w:t>&lt;</w:t>
      </w:r>
      <w:r w:rsidR="0065408A" w:rsidRPr="0065408A">
        <w:rPr>
          <w:rFonts w:ascii="Arial" w:hAnsi="Arial" w:cs="Arial"/>
          <w:sz w:val="24"/>
          <w:szCs w:val="24"/>
          <w:lang w:val="en-US"/>
        </w:rPr>
        <w:t>0</w:t>
      </w:r>
      <w:r w:rsidR="00D16E7B" w:rsidRPr="0065408A">
        <w:rPr>
          <w:rFonts w:ascii="Arial" w:hAnsi="Arial" w:cs="Arial"/>
          <w:sz w:val="24"/>
          <w:szCs w:val="24"/>
          <w:lang w:val="en-US"/>
        </w:rPr>
        <w:t>.05).</w:t>
      </w:r>
    </w:p>
    <w:p w14:paraId="2DAA184A" w14:textId="71729709" w:rsidR="00D16E7B" w:rsidRPr="0065408A" w:rsidRDefault="00D16E7B" w:rsidP="00830047">
      <w:pPr>
        <w:spacing w:after="0" w:line="480" w:lineRule="auto"/>
        <w:rPr>
          <w:rFonts w:ascii="Arial" w:hAnsi="Arial" w:cs="Arial"/>
          <w:sz w:val="24"/>
          <w:szCs w:val="24"/>
          <w:lang w:val="en-US"/>
        </w:rPr>
      </w:pPr>
    </w:p>
    <w:p w14:paraId="54193166" w14:textId="51557499" w:rsidR="00D16E7B" w:rsidRPr="0065408A" w:rsidRDefault="00D16E7B" w:rsidP="00830047">
      <w:pPr>
        <w:spacing w:after="0" w:line="480" w:lineRule="auto"/>
        <w:rPr>
          <w:rFonts w:ascii="Arial" w:hAnsi="Arial" w:cs="Arial"/>
          <w:i/>
          <w:iCs/>
          <w:sz w:val="24"/>
          <w:szCs w:val="24"/>
          <w:lang w:val="en-US"/>
        </w:rPr>
      </w:pPr>
      <w:r w:rsidRPr="0065408A">
        <w:rPr>
          <w:rFonts w:ascii="Arial" w:hAnsi="Arial" w:cs="Arial"/>
          <w:i/>
          <w:iCs/>
          <w:sz w:val="24"/>
          <w:szCs w:val="24"/>
          <w:lang w:val="en-US"/>
        </w:rPr>
        <w:t>Multiple Linear Regression for SPPB</w:t>
      </w:r>
    </w:p>
    <w:p w14:paraId="2ABDCA77" w14:textId="14EA0A99" w:rsidR="00CB6AFB" w:rsidRPr="0065408A" w:rsidRDefault="00D16E7B" w:rsidP="00830047">
      <w:pPr>
        <w:spacing w:after="0" w:line="480" w:lineRule="auto"/>
        <w:rPr>
          <w:rFonts w:ascii="Arial" w:hAnsi="Arial" w:cs="Arial"/>
          <w:sz w:val="24"/>
          <w:szCs w:val="24"/>
          <w:lang w:val="en-US"/>
        </w:rPr>
      </w:pPr>
      <w:r w:rsidRPr="0065408A">
        <w:rPr>
          <w:rFonts w:ascii="Arial" w:hAnsi="Arial" w:cs="Arial"/>
          <w:sz w:val="24"/>
          <w:szCs w:val="24"/>
          <w:lang w:val="en-US"/>
        </w:rPr>
        <w:t>We adjusted for age, gender (</w:t>
      </w:r>
      <w:r w:rsidR="00CB6AFB" w:rsidRPr="0065408A">
        <w:rPr>
          <w:rFonts w:ascii="Arial" w:hAnsi="Arial" w:cs="Arial"/>
          <w:sz w:val="24"/>
          <w:szCs w:val="24"/>
          <w:lang w:val="en-US"/>
        </w:rPr>
        <w:t>covariates with theoretical relevance), education level, housing type, living arrangement, n</w:t>
      </w:r>
      <w:r w:rsidR="00C36E60" w:rsidRPr="0065408A">
        <w:rPr>
          <w:rFonts w:ascii="Arial" w:hAnsi="Arial" w:cs="Arial"/>
          <w:sz w:val="24"/>
          <w:szCs w:val="24"/>
          <w:lang w:val="en-US"/>
        </w:rPr>
        <w:t>umber</w:t>
      </w:r>
      <w:r w:rsidR="00CB6AFB" w:rsidRPr="0065408A">
        <w:rPr>
          <w:rFonts w:ascii="Arial" w:hAnsi="Arial" w:cs="Arial"/>
          <w:sz w:val="24"/>
          <w:szCs w:val="24"/>
          <w:lang w:val="en-US"/>
        </w:rPr>
        <w:t xml:space="preserve"> of medical conditions, diabetes, hypertension, high cholesterol, GPAQ activity level and RBANS global cognition (statistically significant covariates in univariate analysis; </w:t>
      </w:r>
      <w:r w:rsidR="00CB6AFB" w:rsidRPr="0065408A">
        <w:rPr>
          <w:rFonts w:ascii="Arial" w:hAnsi="Arial" w:cs="Arial"/>
          <w:i/>
          <w:iCs/>
          <w:sz w:val="24"/>
          <w:szCs w:val="24"/>
          <w:lang w:val="en-US"/>
        </w:rPr>
        <w:t>p</w:t>
      </w:r>
      <w:r w:rsidR="0065408A" w:rsidRPr="0065408A">
        <w:rPr>
          <w:rFonts w:ascii="Arial" w:hAnsi="Arial" w:cs="Arial"/>
          <w:sz w:val="24"/>
          <w:szCs w:val="24"/>
          <w:lang w:val="en-US"/>
        </w:rPr>
        <w:t>&lt;0.</w:t>
      </w:r>
      <w:r w:rsidR="00CB6AFB" w:rsidRPr="0065408A">
        <w:rPr>
          <w:rFonts w:ascii="Arial" w:hAnsi="Arial" w:cs="Arial"/>
          <w:sz w:val="24"/>
          <w:szCs w:val="24"/>
          <w:lang w:val="en-US"/>
        </w:rPr>
        <w:t>05). Using the WC</w:t>
      </w:r>
      <w:r w:rsidR="00C36E60" w:rsidRPr="0065408A">
        <w:rPr>
          <w:rFonts w:ascii="Arial" w:hAnsi="Arial" w:cs="Arial"/>
          <w:sz w:val="24"/>
          <w:szCs w:val="24"/>
          <w:lang w:val="en-US"/>
        </w:rPr>
        <w:t>-based</w:t>
      </w:r>
      <w:r w:rsidR="00CB6AFB" w:rsidRPr="0065408A">
        <w:rPr>
          <w:rFonts w:ascii="Arial" w:hAnsi="Arial" w:cs="Arial"/>
          <w:sz w:val="24"/>
          <w:szCs w:val="24"/>
          <w:lang w:val="en-US"/>
        </w:rPr>
        <w:t xml:space="preserve">, </w:t>
      </w:r>
      <w:r w:rsidR="00DB3054" w:rsidRPr="0065408A">
        <w:rPr>
          <w:rFonts w:ascii="Arial" w:hAnsi="Arial" w:cs="Arial"/>
          <w:sz w:val="24"/>
          <w:szCs w:val="24"/>
          <w:lang w:val="en-US"/>
        </w:rPr>
        <w:t>PBF</w:t>
      </w:r>
      <w:r w:rsidR="00C36E60" w:rsidRPr="0065408A">
        <w:rPr>
          <w:rFonts w:ascii="Arial" w:hAnsi="Arial" w:cs="Arial"/>
          <w:sz w:val="24"/>
          <w:szCs w:val="24"/>
          <w:lang w:val="en-US"/>
        </w:rPr>
        <w:t>-based</w:t>
      </w:r>
      <w:r w:rsidR="00CB6AFB" w:rsidRPr="0065408A">
        <w:rPr>
          <w:rFonts w:ascii="Arial" w:hAnsi="Arial" w:cs="Arial"/>
          <w:sz w:val="24"/>
          <w:szCs w:val="24"/>
          <w:lang w:val="en-US"/>
        </w:rPr>
        <w:t>, FMI</w:t>
      </w:r>
      <w:r w:rsidR="00C36E60" w:rsidRPr="0065408A">
        <w:rPr>
          <w:rFonts w:ascii="Arial" w:hAnsi="Arial" w:cs="Arial"/>
          <w:sz w:val="24"/>
          <w:szCs w:val="24"/>
          <w:lang w:val="en-US"/>
        </w:rPr>
        <w:t>-based</w:t>
      </w:r>
      <w:r w:rsidR="00CB6AFB" w:rsidRPr="0065408A">
        <w:rPr>
          <w:rFonts w:ascii="Arial" w:hAnsi="Arial" w:cs="Arial"/>
          <w:sz w:val="24"/>
          <w:szCs w:val="24"/>
          <w:lang w:val="en-US"/>
        </w:rPr>
        <w:t xml:space="preserve"> and FM/FFM</w:t>
      </w:r>
      <w:r w:rsidR="00C36E60" w:rsidRPr="0065408A">
        <w:rPr>
          <w:rFonts w:ascii="Arial" w:hAnsi="Arial" w:cs="Arial"/>
          <w:sz w:val="24"/>
          <w:szCs w:val="24"/>
          <w:lang w:val="en-US"/>
        </w:rPr>
        <w:t>-based</w:t>
      </w:r>
      <w:r w:rsidR="00CB6AFB" w:rsidRPr="0065408A">
        <w:rPr>
          <w:rFonts w:ascii="Arial" w:hAnsi="Arial" w:cs="Arial"/>
          <w:sz w:val="24"/>
          <w:szCs w:val="24"/>
          <w:lang w:val="en-US"/>
        </w:rPr>
        <w:t xml:space="preserve"> definitions, the total variance explained by the regression models </w:t>
      </w:r>
      <w:r w:rsidR="00E539CD" w:rsidRPr="0065408A">
        <w:rPr>
          <w:rFonts w:ascii="Arial" w:hAnsi="Arial" w:cs="Arial"/>
          <w:sz w:val="24"/>
          <w:szCs w:val="24"/>
          <w:lang w:val="en-US"/>
        </w:rPr>
        <w:t>were</w:t>
      </w:r>
      <w:r w:rsidR="00CB6AFB" w:rsidRPr="0065408A">
        <w:rPr>
          <w:rFonts w:ascii="Arial" w:hAnsi="Arial" w:cs="Arial"/>
          <w:sz w:val="24"/>
          <w:szCs w:val="24"/>
          <w:lang w:val="en-US"/>
        </w:rPr>
        <w:t xml:space="preserve"> 22.</w:t>
      </w:r>
      <w:r w:rsidR="00E84CDC">
        <w:rPr>
          <w:rFonts w:ascii="Arial" w:hAnsi="Arial" w:cs="Arial"/>
          <w:sz w:val="24"/>
          <w:szCs w:val="24"/>
          <w:lang w:val="en-US"/>
        </w:rPr>
        <w:t>4</w:t>
      </w:r>
      <w:r w:rsidR="00CB6AFB" w:rsidRPr="0065408A">
        <w:rPr>
          <w:rFonts w:ascii="Arial" w:hAnsi="Arial" w:cs="Arial"/>
          <w:sz w:val="24"/>
          <w:szCs w:val="24"/>
          <w:lang w:val="en-US"/>
        </w:rPr>
        <w:t xml:space="preserve">% [F(12, </w:t>
      </w:r>
      <w:r w:rsidR="00E84CDC">
        <w:rPr>
          <w:rFonts w:ascii="Arial" w:hAnsi="Arial" w:cs="Arial"/>
          <w:sz w:val="24"/>
          <w:szCs w:val="24"/>
          <w:lang w:val="en-US"/>
        </w:rPr>
        <w:t>469</w:t>
      </w:r>
      <w:r w:rsidR="00CB6AFB" w:rsidRPr="0065408A">
        <w:rPr>
          <w:rFonts w:ascii="Arial" w:hAnsi="Arial" w:cs="Arial"/>
          <w:sz w:val="24"/>
          <w:szCs w:val="24"/>
          <w:lang w:val="en-US"/>
        </w:rPr>
        <w:t>)=12.</w:t>
      </w:r>
      <w:r w:rsidR="00E84CDC">
        <w:rPr>
          <w:rFonts w:ascii="Arial" w:hAnsi="Arial" w:cs="Arial"/>
          <w:sz w:val="24"/>
          <w:szCs w:val="24"/>
          <w:lang w:val="en-US"/>
        </w:rPr>
        <w:t>575</w:t>
      </w:r>
      <w:r w:rsidR="00CB6AFB" w:rsidRPr="0065408A">
        <w:rPr>
          <w:rFonts w:ascii="Arial" w:hAnsi="Arial" w:cs="Arial"/>
          <w:sz w:val="24"/>
          <w:szCs w:val="24"/>
          <w:lang w:val="en-US"/>
        </w:rPr>
        <w:t xml:space="preserve">, </w:t>
      </w:r>
      <w:r w:rsidR="00CB6AFB" w:rsidRPr="0065408A">
        <w:rPr>
          <w:rFonts w:ascii="Arial" w:hAnsi="Arial" w:cs="Arial"/>
          <w:i/>
          <w:iCs/>
          <w:sz w:val="24"/>
          <w:szCs w:val="24"/>
          <w:lang w:val="en-US"/>
        </w:rPr>
        <w:t>p</w:t>
      </w:r>
      <w:r w:rsidR="0065408A" w:rsidRPr="0065408A">
        <w:rPr>
          <w:rFonts w:ascii="Arial" w:hAnsi="Arial" w:cs="Arial"/>
          <w:sz w:val="24"/>
          <w:szCs w:val="24"/>
          <w:lang w:val="en-US"/>
        </w:rPr>
        <w:t>&lt;0.</w:t>
      </w:r>
      <w:r w:rsidR="00CB6AFB" w:rsidRPr="0065408A">
        <w:rPr>
          <w:rFonts w:ascii="Arial" w:hAnsi="Arial" w:cs="Arial"/>
          <w:sz w:val="24"/>
          <w:szCs w:val="24"/>
          <w:lang w:val="en-US"/>
        </w:rPr>
        <w:t>001], 23.</w:t>
      </w:r>
      <w:r w:rsidR="00E84CDC">
        <w:rPr>
          <w:rFonts w:ascii="Arial" w:hAnsi="Arial" w:cs="Arial"/>
          <w:sz w:val="24"/>
          <w:szCs w:val="24"/>
          <w:lang w:val="en-US"/>
        </w:rPr>
        <w:t>1</w:t>
      </w:r>
      <w:r w:rsidR="00CB6AFB" w:rsidRPr="0065408A">
        <w:rPr>
          <w:rFonts w:ascii="Arial" w:hAnsi="Arial" w:cs="Arial"/>
          <w:sz w:val="24"/>
          <w:szCs w:val="24"/>
          <w:lang w:val="en-US"/>
        </w:rPr>
        <w:t>% [F(12, 4</w:t>
      </w:r>
      <w:r w:rsidR="00E84CDC">
        <w:rPr>
          <w:rFonts w:ascii="Arial" w:hAnsi="Arial" w:cs="Arial"/>
          <w:sz w:val="24"/>
          <w:szCs w:val="24"/>
          <w:lang w:val="en-US"/>
        </w:rPr>
        <w:t>69</w:t>
      </w:r>
      <w:r w:rsidR="00CB6AFB" w:rsidRPr="0065408A">
        <w:rPr>
          <w:rFonts w:ascii="Arial" w:hAnsi="Arial" w:cs="Arial"/>
          <w:sz w:val="24"/>
          <w:szCs w:val="24"/>
          <w:lang w:val="en-US"/>
        </w:rPr>
        <w:t>)=13.</w:t>
      </w:r>
      <w:r w:rsidR="00E84CDC">
        <w:rPr>
          <w:rFonts w:ascii="Arial" w:hAnsi="Arial" w:cs="Arial"/>
          <w:sz w:val="24"/>
          <w:szCs w:val="24"/>
          <w:lang w:val="en-US"/>
        </w:rPr>
        <w:t>026</w:t>
      </w:r>
      <w:r w:rsidR="00CB6AFB" w:rsidRPr="0065408A">
        <w:rPr>
          <w:rFonts w:ascii="Arial" w:hAnsi="Arial" w:cs="Arial"/>
          <w:sz w:val="24"/>
          <w:szCs w:val="24"/>
          <w:lang w:val="en-US"/>
        </w:rPr>
        <w:t xml:space="preserve">, </w:t>
      </w:r>
      <w:r w:rsidR="00CB6AFB" w:rsidRPr="0065408A">
        <w:rPr>
          <w:rFonts w:ascii="Arial" w:hAnsi="Arial" w:cs="Arial"/>
          <w:i/>
          <w:iCs/>
          <w:sz w:val="24"/>
          <w:szCs w:val="24"/>
          <w:lang w:val="en-US"/>
        </w:rPr>
        <w:t>p</w:t>
      </w:r>
      <w:r w:rsidR="0065408A" w:rsidRPr="0065408A">
        <w:rPr>
          <w:rFonts w:ascii="Arial" w:hAnsi="Arial" w:cs="Arial"/>
          <w:sz w:val="24"/>
          <w:szCs w:val="24"/>
          <w:lang w:val="en-US"/>
        </w:rPr>
        <w:t>&lt;0.</w:t>
      </w:r>
      <w:r w:rsidR="00CB6AFB" w:rsidRPr="0065408A">
        <w:rPr>
          <w:rFonts w:ascii="Arial" w:hAnsi="Arial" w:cs="Arial"/>
          <w:sz w:val="24"/>
          <w:szCs w:val="24"/>
          <w:lang w:val="en-US"/>
        </w:rPr>
        <w:t xml:space="preserve">001], 23.7% [F(12, </w:t>
      </w:r>
      <w:r w:rsidR="00E84CDC">
        <w:rPr>
          <w:rFonts w:ascii="Arial" w:hAnsi="Arial" w:cs="Arial"/>
          <w:sz w:val="24"/>
          <w:szCs w:val="24"/>
          <w:lang w:val="en-US"/>
        </w:rPr>
        <w:t>469</w:t>
      </w:r>
      <w:r w:rsidR="00CB6AFB" w:rsidRPr="0065408A">
        <w:rPr>
          <w:rFonts w:ascii="Arial" w:hAnsi="Arial" w:cs="Arial"/>
          <w:sz w:val="24"/>
          <w:szCs w:val="24"/>
          <w:lang w:val="en-US"/>
        </w:rPr>
        <w:t>)=13.</w:t>
      </w:r>
      <w:r w:rsidR="00E84CDC">
        <w:rPr>
          <w:rFonts w:ascii="Arial" w:hAnsi="Arial" w:cs="Arial"/>
          <w:sz w:val="24"/>
          <w:szCs w:val="24"/>
          <w:lang w:val="en-US"/>
        </w:rPr>
        <w:t>416</w:t>
      </w:r>
      <w:r w:rsidR="00CB6AFB" w:rsidRPr="0065408A">
        <w:rPr>
          <w:rFonts w:ascii="Arial" w:hAnsi="Arial" w:cs="Arial"/>
          <w:sz w:val="24"/>
          <w:szCs w:val="24"/>
          <w:lang w:val="en-US"/>
        </w:rPr>
        <w:t xml:space="preserve">, </w:t>
      </w:r>
      <w:r w:rsidR="00CB6AFB" w:rsidRPr="0065408A">
        <w:rPr>
          <w:rFonts w:ascii="Arial" w:hAnsi="Arial" w:cs="Arial"/>
          <w:i/>
          <w:iCs/>
          <w:sz w:val="24"/>
          <w:szCs w:val="24"/>
          <w:lang w:val="en-US"/>
        </w:rPr>
        <w:t>p</w:t>
      </w:r>
      <w:r w:rsidR="0065408A" w:rsidRPr="0065408A">
        <w:rPr>
          <w:rFonts w:ascii="Arial" w:hAnsi="Arial" w:cs="Arial"/>
          <w:sz w:val="24"/>
          <w:szCs w:val="24"/>
          <w:lang w:val="en-US"/>
        </w:rPr>
        <w:t>&lt;0.</w:t>
      </w:r>
      <w:r w:rsidR="00CB6AFB" w:rsidRPr="0065408A">
        <w:rPr>
          <w:rFonts w:ascii="Arial" w:hAnsi="Arial" w:cs="Arial"/>
          <w:sz w:val="24"/>
          <w:szCs w:val="24"/>
          <w:lang w:val="en-US"/>
        </w:rPr>
        <w:t>001] and</w:t>
      </w:r>
      <w:r w:rsidR="00E84CDC">
        <w:rPr>
          <w:rFonts w:ascii="Arial" w:hAnsi="Arial" w:cs="Arial"/>
          <w:sz w:val="24"/>
          <w:szCs w:val="24"/>
          <w:lang w:val="en-US"/>
        </w:rPr>
        <w:t xml:space="preserve"> 22.4</w:t>
      </w:r>
      <w:r w:rsidR="00CB6AFB" w:rsidRPr="0065408A">
        <w:rPr>
          <w:rFonts w:ascii="Arial" w:hAnsi="Arial" w:cs="Arial"/>
          <w:sz w:val="24"/>
          <w:szCs w:val="24"/>
          <w:lang w:val="en-US"/>
        </w:rPr>
        <w:t xml:space="preserve">% [F(12, </w:t>
      </w:r>
      <w:r w:rsidR="00E84CDC">
        <w:rPr>
          <w:rFonts w:ascii="Arial" w:hAnsi="Arial" w:cs="Arial"/>
          <w:sz w:val="24"/>
          <w:szCs w:val="24"/>
          <w:lang w:val="en-US"/>
        </w:rPr>
        <w:t>469</w:t>
      </w:r>
      <w:r w:rsidR="00CB6AFB" w:rsidRPr="0065408A">
        <w:rPr>
          <w:rFonts w:ascii="Arial" w:hAnsi="Arial" w:cs="Arial"/>
          <w:sz w:val="24"/>
          <w:szCs w:val="24"/>
          <w:lang w:val="en-US"/>
        </w:rPr>
        <w:t>)=1</w:t>
      </w:r>
      <w:r w:rsidR="00E84CDC">
        <w:rPr>
          <w:rFonts w:ascii="Arial" w:hAnsi="Arial" w:cs="Arial"/>
          <w:sz w:val="24"/>
          <w:szCs w:val="24"/>
          <w:lang w:val="en-US"/>
        </w:rPr>
        <w:t>2.575</w:t>
      </w:r>
      <w:r w:rsidR="00CB6AFB" w:rsidRPr="0065408A">
        <w:rPr>
          <w:rFonts w:ascii="Arial" w:hAnsi="Arial" w:cs="Arial"/>
          <w:sz w:val="24"/>
          <w:szCs w:val="24"/>
          <w:lang w:val="en-US"/>
        </w:rPr>
        <w:t xml:space="preserve">, </w:t>
      </w:r>
      <w:r w:rsidR="00CB6AFB" w:rsidRPr="0065408A">
        <w:rPr>
          <w:rFonts w:ascii="Arial" w:hAnsi="Arial" w:cs="Arial"/>
          <w:i/>
          <w:iCs/>
          <w:sz w:val="24"/>
          <w:szCs w:val="24"/>
          <w:lang w:val="en-US"/>
        </w:rPr>
        <w:t>p</w:t>
      </w:r>
      <w:r w:rsidR="0065408A" w:rsidRPr="0065408A">
        <w:rPr>
          <w:rFonts w:ascii="Arial" w:hAnsi="Arial" w:cs="Arial"/>
          <w:sz w:val="24"/>
          <w:szCs w:val="24"/>
          <w:lang w:val="en-US"/>
        </w:rPr>
        <w:t>&lt;0.</w:t>
      </w:r>
      <w:r w:rsidR="00CB6AFB" w:rsidRPr="0065408A">
        <w:rPr>
          <w:rFonts w:ascii="Arial" w:hAnsi="Arial" w:cs="Arial"/>
          <w:sz w:val="24"/>
          <w:szCs w:val="24"/>
          <w:lang w:val="en-US"/>
        </w:rPr>
        <w:t>001] respectively (</w:t>
      </w:r>
      <w:r w:rsidR="00CB6AFB" w:rsidRPr="0065408A">
        <w:rPr>
          <w:rFonts w:ascii="Arial" w:hAnsi="Arial" w:cs="Arial"/>
          <w:b/>
          <w:bCs/>
          <w:sz w:val="24"/>
          <w:szCs w:val="24"/>
          <w:lang w:val="en-US"/>
        </w:rPr>
        <w:t xml:space="preserve">Table </w:t>
      </w:r>
      <w:r w:rsidR="00164283" w:rsidRPr="0065408A">
        <w:rPr>
          <w:rFonts w:ascii="Arial" w:hAnsi="Arial" w:cs="Arial"/>
          <w:b/>
          <w:bCs/>
          <w:sz w:val="24"/>
          <w:szCs w:val="24"/>
          <w:lang w:val="en-US"/>
        </w:rPr>
        <w:t>6</w:t>
      </w:r>
      <w:r w:rsidR="00CB6AFB" w:rsidRPr="0065408A">
        <w:rPr>
          <w:rFonts w:ascii="Arial" w:hAnsi="Arial" w:cs="Arial"/>
          <w:b/>
          <w:bCs/>
          <w:sz w:val="24"/>
          <w:szCs w:val="24"/>
          <w:lang w:val="en-US"/>
        </w:rPr>
        <w:t>.</w:t>
      </w:r>
      <w:r w:rsidR="00CB6AFB" w:rsidRPr="0065408A">
        <w:rPr>
          <w:rFonts w:ascii="Arial" w:hAnsi="Arial" w:cs="Arial"/>
          <w:sz w:val="24"/>
          <w:szCs w:val="24"/>
          <w:lang w:val="en-US"/>
        </w:rPr>
        <w:t xml:space="preserve">). </w:t>
      </w:r>
    </w:p>
    <w:p w14:paraId="65325E45" w14:textId="77777777" w:rsidR="00CB6AFB" w:rsidRPr="0065408A" w:rsidRDefault="00CB6AFB" w:rsidP="00830047">
      <w:pPr>
        <w:spacing w:after="0" w:line="480" w:lineRule="auto"/>
        <w:rPr>
          <w:rFonts w:ascii="Arial" w:hAnsi="Arial" w:cs="Arial"/>
          <w:sz w:val="24"/>
          <w:szCs w:val="24"/>
          <w:lang w:val="en-US"/>
        </w:rPr>
      </w:pPr>
    </w:p>
    <w:p w14:paraId="65D85C1A" w14:textId="77777777" w:rsidR="00D714C2" w:rsidRDefault="00D714C2">
      <w:pPr>
        <w:rPr>
          <w:rFonts w:ascii="Arial" w:hAnsi="Arial" w:cs="Arial"/>
          <w:b/>
          <w:sz w:val="24"/>
          <w:szCs w:val="24"/>
          <w:u w:val="single"/>
          <w:lang w:val="en-US"/>
        </w:rPr>
      </w:pPr>
      <w:r>
        <w:rPr>
          <w:rFonts w:ascii="Arial" w:hAnsi="Arial" w:cs="Arial"/>
          <w:b/>
          <w:sz w:val="24"/>
          <w:szCs w:val="24"/>
          <w:u w:val="single"/>
          <w:lang w:val="en-US"/>
        </w:rPr>
        <w:br w:type="page"/>
      </w:r>
    </w:p>
    <w:p w14:paraId="2C5442DF" w14:textId="6084E880" w:rsidR="00B166E0" w:rsidRPr="0065408A" w:rsidRDefault="00B166E0" w:rsidP="00830047">
      <w:pPr>
        <w:rPr>
          <w:rFonts w:ascii="Arial" w:hAnsi="Arial" w:cs="Arial"/>
          <w:sz w:val="24"/>
          <w:szCs w:val="24"/>
          <w:lang w:val="en-US"/>
        </w:rPr>
      </w:pPr>
      <w:r w:rsidRPr="0065408A">
        <w:rPr>
          <w:rFonts w:ascii="Arial" w:hAnsi="Arial" w:cs="Arial"/>
          <w:b/>
          <w:sz w:val="24"/>
          <w:szCs w:val="24"/>
          <w:u w:val="single"/>
          <w:lang w:val="en-US"/>
        </w:rPr>
        <w:lastRenderedPageBreak/>
        <w:t>DISCUSSION</w:t>
      </w:r>
    </w:p>
    <w:p w14:paraId="3796266D" w14:textId="1893B7F3" w:rsidR="00B166E0" w:rsidRPr="0065408A" w:rsidRDefault="00B166E0" w:rsidP="00830047">
      <w:pPr>
        <w:spacing w:after="0" w:line="480" w:lineRule="auto"/>
        <w:rPr>
          <w:rFonts w:ascii="Arial" w:hAnsi="Arial" w:cs="Arial"/>
          <w:b/>
          <w:sz w:val="24"/>
          <w:szCs w:val="24"/>
          <w:u w:val="single"/>
          <w:lang w:val="en-US"/>
        </w:rPr>
      </w:pPr>
    </w:p>
    <w:p w14:paraId="626F719D" w14:textId="4C197F84" w:rsidR="005D7BBD" w:rsidRPr="0065408A" w:rsidRDefault="0046576B"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In this study, we </w:t>
      </w:r>
      <w:r w:rsidR="005D7BBD" w:rsidRPr="0065408A">
        <w:rPr>
          <w:rFonts w:ascii="Arial" w:hAnsi="Arial" w:cs="Arial"/>
          <w:sz w:val="24"/>
          <w:szCs w:val="24"/>
          <w:lang w:val="en-US"/>
        </w:rPr>
        <w:t xml:space="preserve">present reference values for waist circumference (WC), </w:t>
      </w:r>
      <w:r w:rsidR="00DB3054" w:rsidRPr="0065408A">
        <w:rPr>
          <w:rFonts w:ascii="Arial" w:hAnsi="Arial" w:cs="Arial"/>
          <w:sz w:val="24"/>
          <w:szCs w:val="24"/>
          <w:lang w:val="en-US"/>
        </w:rPr>
        <w:t xml:space="preserve">percentage </w:t>
      </w:r>
      <w:r w:rsidR="005D7BBD" w:rsidRPr="0065408A">
        <w:rPr>
          <w:rFonts w:ascii="Arial" w:hAnsi="Arial" w:cs="Arial"/>
          <w:sz w:val="24"/>
          <w:szCs w:val="24"/>
          <w:lang w:val="en-US"/>
        </w:rPr>
        <w:t>body fat (</w:t>
      </w:r>
      <w:r w:rsidR="00DB3054" w:rsidRPr="0065408A">
        <w:rPr>
          <w:rFonts w:ascii="Arial" w:hAnsi="Arial" w:cs="Arial"/>
          <w:sz w:val="24"/>
          <w:szCs w:val="24"/>
          <w:lang w:val="en-US"/>
        </w:rPr>
        <w:t>PBF</w:t>
      </w:r>
      <w:r w:rsidR="005D7BBD" w:rsidRPr="0065408A">
        <w:rPr>
          <w:rFonts w:ascii="Arial" w:hAnsi="Arial" w:cs="Arial"/>
          <w:sz w:val="24"/>
          <w:szCs w:val="24"/>
          <w:lang w:val="en-US"/>
        </w:rPr>
        <w:t>), fat mass index (FMI)</w:t>
      </w:r>
      <w:r w:rsidR="00904A39" w:rsidRPr="0065408A">
        <w:rPr>
          <w:rFonts w:ascii="Arial" w:hAnsi="Arial" w:cs="Arial"/>
          <w:sz w:val="24"/>
          <w:szCs w:val="24"/>
          <w:lang w:val="en-US"/>
        </w:rPr>
        <w:t xml:space="preserve"> and </w:t>
      </w:r>
      <w:r w:rsidR="005D7BBD" w:rsidRPr="0065408A">
        <w:rPr>
          <w:rFonts w:ascii="Arial" w:hAnsi="Arial" w:cs="Arial"/>
          <w:sz w:val="24"/>
          <w:szCs w:val="24"/>
          <w:lang w:val="en-US"/>
        </w:rPr>
        <w:t xml:space="preserve">fat mass to fat-free mass (FM/FFM) ratio, </w:t>
      </w:r>
      <w:r w:rsidR="009B4563" w:rsidRPr="0065408A">
        <w:rPr>
          <w:rFonts w:ascii="Arial" w:hAnsi="Arial" w:cs="Arial"/>
          <w:sz w:val="24"/>
          <w:szCs w:val="24"/>
          <w:lang w:val="en-US"/>
        </w:rPr>
        <w:t xml:space="preserve">as well as </w:t>
      </w:r>
      <w:r w:rsidR="00904A39" w:rsidRPr="0065408A">
        <w:rPr>
          <w:rFonts w:ascii="Arial" w:hAnsi="Arial" w:cs="Arial"/>
          <w:sz w:val="24"/>
          <w:szCs w:val="24"/>
          <w:lang w:val="en-US"/>
        </w:rPr>
        <w:t xml:space="preserve">sex-specific cut-off values for </w:t>
      </w:r>
      <w:r w:rsidR="00DB3054" w:rsidRPr="0065408A">
        <w:rPr>
          <w:rFonts w:ascii="Arial" w:hAnsi="Arial" w:cs="Arial"/>
          <w:sz w:val="24"/>
          <w:szCs w:val="24"/>
          <w:lang w:val="en-US"/>
        </w:rPr>
        <w:t>PBF</w:t>
      </w:r>
      <w:r w:rsidR="00904A39" w:rsidRPr="0065408A">
        <w:rPr>
          <w:rFonts w:ascii="Arial" w:hAnsi="Arial" w:cs="Arial"/>
          <w:sz w:val="24"/>
          <w:szCs w:val="24"/>
          <w:lang w:val="en-US"/>
        </w:rPr>
        <w:t xml:space="preserve"> and FMI, </w:t>
      </w:r>
      <w:r w:rsidR="009B4563" w:rsidRPr="0065408A">
        <w:rPr>
          <w:rFonts w:ascii="Arial" w:hAnsi="Arial" w:cs="Arial"/>
          <w:sz w:val="24"/>
          <w:szCs w:val="24"/>
          <w:lang w:val="en-US"/>
        </w:rPr>
        <w:t xml:space="preserve">to define </w:t>
      </w:r>
      <w:r w:rsidRPr="0065408A">
        <w:rPr>
          <w:rFonts w:ascii="Arial" w:hAnsi="Arial" w:cs="Arial"/>
          <w:sz w:val="24"/>
          <w:szCs w:val="24"/>
          <w:lang w:val="en-US"/>
        </w:rPr>
        <w:t xml:space="preserve">alternative phenotypic representations of </w:t>
      </w:r>
      <w:r w:rsidR="00FF6F06" w:rsidRPr="0065408A">
        <w:rPr>
          <w:rFonts w:ascii="Arial" w:hAnsi="Arial" w:cs="Arial"/>
          <w:sz w:val="24"/>
          <w:szCs w:val="24"/>
          <w:lang w:val="en-US"/>
        </w:rPr>
        <w:t>sarcopenic obesity (</w:t>
      </w:r>
      <w:r w:rsidR="009B4563" w:rsidRPr="0065408A">
        <w:rPr>
          <w:rFonts w:ascii="Arial" w:hAnsi="Arial" w:cs="Arial"/>
          <w:sz w:val="24"/>
          <w:szCs w:val="24"/>
          <w:lang w:val="en-US"/>
        </w:rPr>
        <w:t>SO</w:t>
      </w:r>
      <w:r w:rsidR="00FF6F06" w:rsidRPr="0065408A">
        <w:rPr>
          <w:rFonts w:ascii="Arial" w:hAnsi="Arial" w:cs="Arial"/>
          <w:sz w:val="24"/>
          <w:szCs w:val="24"/>
          <w:lang w:val="en-US"/>
        </w:rPr>
        <w:t>)</w:t>
      </w:r>
      <w:r w:rsidR="009B4563" w:rsidRPr="0065408A">
        <w:rPr>
          <w:rFonts w:ascii="Arial" w:hAnsi="Arial" w:cs="Arial"/>
          <w:sz w:val="24"/>
          <w:szCs w:val="24"/>
          <w:lang w:val="en-US"/>
        </w:rPr>
        <w:t xml:space="preserve">. We </w:t>
      </w:r>
      <w:r w:rsidR="009A4A7F" w:rsidRPr="0065408A">
        <w:rPr>
          <w:rFonts w:ascii="Arial" w:hAnsi="Arial" w:cs="Arial"/>
          <w:sz w:val="24"/>
          <w:szCs w:val="24"/>
          <w:lang w:val="en-US"/>
        </w:rPr>
        <w:t xml:space="preserve">describe </w:t>
      </w:r>
      <w:r w:rsidR="005D7BBD" w:rsidRPr="0065408A">
        <w:rPr>
          <w:rFonts w:ascii="Arial" w:hAnsi="Arial" w:cs="Arial"/>
          <w:sz w:val="24"/>
          <w:szCs w:val="24"/>
          <w:lang w:val="en-US"/>
        </w:rPr>
        <w:t xml:space="preserve">the corresponding </w:t>
      </w:r>
      <w:r w:rsidR="00FF6F06" w:rsidRPr="0065408A">
        <w:rPr>
          <w:rFonts w:ascii="Arial" w:hAnsi="Arial" w:cs="Arial"/>
          <w:sz w:val="24"/>
          <w:szCs w:val="24"/>
          <w:lang w:val="en-US"/>
        </w:rPr>
        <w:t>SO</w:t>
      </w:r>
      <w:r w:rsidR="005D7BBD" w:rsidRPr="0065408A">
        <w:rPr>
          <w:rFonts w:ascii="Arial" w:hAnsi="Arial" w:cs="Arial"/>
          <w:sz w:val="24"/>
          <w:szCs w:val="24"/>
          <w:lang w:val="en-US"/>
        </w:rPr>
        <w:t xml:space="preserve"> prevalences </w:t>
      </w:r>
      <w:r w:rsidR="002265E4" w:rsidRPr="0065408A">
        <w:rPr>
          <w:rFonts w:ascii="Arial" w:hAnsi="Arial" w:cs="Arial"/>
          <w:sz w:val="24"/>
          <w:szCs w:val="24"/>
          <w:lang w:val="en-US"/>
        </w:rPr>
        <w:t xml:space="preserve">using AWGS guidelines for sarcopenia, </w:t>
      </w:r>
      <w:r w:rsidR="005D7BBD" w:rsidRPr="0065408A">
        <w:rPr>
          <w:rFonts w:ascii="Arial" w:hAnsi="Arial" w:cs="Arial"/>
          <w:sz w:val="24"/>
          <w:szCs w:val="24"/>
          <w:lang w:val="en-US"/>
        </w:rPr>
        <w:t xml:space="preserve">across the age groups of healthy adults. </w:t>
      </w:r>
      <w:r w:rsidR="002265E4" w:rsidRPr="0065408A">
        <w:rPr>
          <w:rFonts w:ascii="Arial" w:hAnsi="Arial" w:cs="Arial"/>
          <w:sz w:val="24"/>
          <w:szCs w:val="24"/>
          <w:lang w:val="en-US"/>
        </w:rPr>
        <w:t>O</w:t>
      </w:r>
      <w:r w:rsidR="005D7BBD" w:rsidRPr="0065408A">
        <w:rPr>
          <w:rFonts w:ascii="Arial" w:hAnsi="Arial" w:cs="Arial"/>
          <w:sz w:val="24"/>
          <w:szCs w:val="24"/>
          <w:lang w:val="en-US"/>
        </w:rPr>
        <w:t xml:space="preserve">ur estimated prevalence of SO </w:t>
      </w:r>
      <w:r w:rsidR="00C36E60" w:rsidRPr="0065408A">
        <w:rPr>
          <w:rFonts w:ascii="Arial" w:hAnsi="Arial" w:cs="Arial"/>
          <w:sz w:val="24"/>
          <w:szCs w:val="24"/>
          <w:lang w:val="en-US"/>
        </w:rPr>
        <w:t xml:space="preserve">for adults aged ≥21 years and ≥60 years </w:t>
      </w:r>
      <w:r w:rsidR="00EE5C0A" w:rsidRPr="0065408A">
        <w:rPr>
          <w:rFonts w:ascii="Arial" w:hAnsi="Arial" w:cs="Arial"/>
          <w:sz w:val="24"/>
          <w:szCs w:val="24"/>
          <w:lang w:val="en-US"/>
        </w:rPr>
        <w:t>were</w:t>
      </w:r>
      <w:r w:rsidR="005D7BBD" w:rsidRPr="0065408A">
        <w:rPr>
          <w:rFonts w:ascii="Arial" w:hAnsi="Arial" w:cs="Arial"/>
          <w:sz w:val="24"/>
          <w:szCs w:val="24"/>
          <w:lang w:val="en-US"/>
        </w:rPr>
        <w:t xml:space="preserve"> 7.6%</w:t>
      </w:r>
      <w:r w:rsidR="002265E4" w:rsidRPr="0065408A">
        <w:rPr>
          <w:rFonts w:ascii="Arial" w:hAnsi="Arial" w:cs="Arial"/>
          <w:sz w:val="24"/>
          <w:szCs w:val="24"/>
          <w:lang w:val="en-US"/>
        </w:rPr>
        <w:t xml:space="preserve"> and 21.6%</w:t>
      </w:r>
      <w:r w:rsidR="005D7BBD" w:rsidRPr="0065408A">
        <w:rPr>
          <w:rFonts w:ascii="Arial" w:hAnsi="Arial" w:cs="Arial"/>
          <w:sz w:val="24"/>
          <w:szCs w:val="24"/>
          <w:lang w:val="en-US"/>
        </w:rPr>
        <w:t xml:space="preserve"> (WC</w:t>
      </w:r>
      <w:r w:rsidR="00C36E60" w:rsidRPr="0065408A">
        <w:rPr>
          <w:rFonts w:ascii="Arial" w:hAnsi="Arial" w:cs="Arial"/>
          <w:sz w:val="24"/>
          <w:szCs w:val="24"/>
          <w:lang w:val="en-US"/>
        </w:rPr>
        <w:t>-based</w:t>
      </w:r>
      <w:r w:rsidR="005D7BBD" w:rsidRPr="0065408A">
        <w:rPr>
          <w:rFonts w:ascii="Arial" w:hAnsi="Arial" w:cs="Arial"/>
          <w:sz w:val="24"/>
          <w:szCs w:val="24"/>
          <w:lang w:val="en-US"/>
        </w:rPr>
        <w:t xml:space="preserve">), 5.1% </w:t>
      </w:r>
      <w:r w:rsidR="002265E4" w:rsidRPr="0065408A">
        <w:rPr>
          <w:rFonts w:ascii="Arial" w:hAnsi="Arial" w:cs="Arial"/>
          <w:sz w:val="24"/>
          <w:szCs w:val="24"/>
          <w:lang w:val="en-US"/>
        </w:rPr>
        <w:t xml:space="preserve">and 16.1% </w:t>
      </w:r>
      <w:r w:rsidR="005D7BBD" w:rsidRPr="0065408A">
        <w:rPr>
          <w:rFonts w:ascii="Arial" w:hAnsi="Arial" w:cs="Arial"/>
          <w:sz w:val="24"/>
          <w:szCs w:val="24"/>
          <w:lang w:val="en-US"/>
        </w:rPr>
        <w:t>(</w:t>
      </w:r>
      <w:r w:rsidR="00DB3054" w:rsidRPr="0065408A">
        <w:rPr>
          <w:rFonts w:ascii="Arial" w:hAnsi="Arial" w:cs="Arial"/>
          <w:sz w:val="24"/>
          <w:szCs w:val="24"/>
          <w:lang w:val="en-US"/>
        </w:rPr>
        <w:t>PBF</w:t>
      </w:r>
      <w:r w:rsidR="00C36E60" w:rsidRPr="0065408A">
        <w:rPr>
          <w:rFonts w:ascii="Arial" w:hAnsi="Arial" w:cs="Arial"/>
          <w:sz w:val="24"/>
          <w:szCs w:val="24"/>
          <w:lang w:val="en-US"/>
        </w:rPr>
        <w:t>-based</w:t>
      </w:r>
      <w:r w:rsidR="005D7BBD" w:rsidRPr="0065408A">
        <w:rPr>
          <w:rFonts w:ascii="Arial" w:hAnsi="Arial" w:cs="Arial"/>
          <w:sz w:val="24"/>
          <w:szCs w:val="24"/>
          <w:lang w:val="en-US"/>
        </w:rPr>
        <w:t>), 2.7%</w:t>
      </w:r>
      <w:r w:rsidR="002265E4" w:rsidRPr="0065408A">
        <w:rPr>
          <w:rFonts w:ascii="Arial" w:hAnsi="Arial" w:cs="Arial"/>
          <w:sz w:val="24"/>
          <w:szCs w:val="24"/>
          <w:lang w:val="en-US"/>
        </w:rPr>
        <w:t xml:space="preserve"> and 9.5%</w:t>
      </w:r>
      <w:r w:rsidR="005D7BBD" w:rsidRPr="0065408A">
        <w:rPr>
          <w:rFonts w:ascii="Arial" w:hAnsi="Arial" w:cs="Arial"/>
          <w:sz w:val="24"/>
          <w:szCs w:val="24"/>
          <w:lang w:val="en-US"/>
        </w:rPr>
        <w:t xml:space="preserve"> (FMI</w:t>
      </w:r>
      <w:r w:rsidR="00C36E60" w:rsidRPr="0065408A">
        <w:rPr>
          <w:rFonts w:ascii="Arial" w:hAnsi="Arial" w:cs="Arial"/>
          <w:sz w:val="24"/>
          <w:szCs w:val="24"/>
          <w:lang w:val="en-US"/>
        </w:rPr>
        <w:t>-based</w:t>
      </w:r>
      <w:r w:rsidR="005D7BBD" w:rsidRPr="0065408A">
        <w:rPr>
          <w:rFonts w:ascii="Arial" w:hAnsi="Arial" w:cs="Arial"/>
          <w:sz w:val="24"/>
          <w:szCs w:val="24"/>
          <w:lang w:val="en-US"/>
        </w:rPr>
        <w:t>), and 1.5%</w:t>
      </w:r>
      <w:r w:rsidR="002265E4" w:rsidRPr="0065408A">
        <w:rPr>
          <w:rFonts w:ascii="Arial" w:hAnsi="Arial" w:cs="Arial"/>
          <w:sz w:val="24"/>
          <w:szCs w:val="24"/>
          <w:lang w:val="en-US"/>
        </w:rPr>
        <w:t xml:space="preserve"> and </w:t>
      </w:r>
      <w:r w:rsidR="008514EF">
        <w:rPr>
          <w:rFonts w:ascii="Arial" w:hAnsi="Arial" w:cs="Arial"/>
          <w:sz w:val="24"/>
          <w:szCs w:val="24"/>
          <w:lang w:val="en-US"/>
        </w:rPr>
        <w:t>3.7</w:t>
      </w:r>
      <w:r w:rsidR="002265E4" w:rsidRPr="0065408A">
        <w:rPr>
          <w:rFonts w:ascii="Arial" w:hAnsi="Arial" w:cs="Arial"/>
          <w:sz w:val="24"/>
          <w:szCs w:val="24"/>
          <w:lang w:val="en-US"/>
        </w:rPr>
        <w:t>%</w:t>
      </w:r>
      <w:r w:rsidR="005D7BBD" w:rsidRPr="0065408A">
        <w:rPr>
          <w:rFonts w:ascii="Arial" w:hAnsi="Arial" w:cs="Arial"/>
          <w:sz w:val="24"/>
          <w:szCs w:val="24"/>
          <w:lang w:val="en-US"/>
        </w:rPr>
        <w:t xml:space="preserve"> (FM/FFM</w:t>
      </w:r>
      <w:r w:rsidR="00C36E60" w:rsidRPr="0065408A">
        <w:rPr>
          <w:rFonts w:ascii="Arial" w:hAnsi="Arial" w:cs="Arial"/>
          <w:sz w:val="24"/>
          <w:szCs w:val="24"/>
          <w:lang w:val="en-US"/>
        </w:rPr>
        <w:t>-based</w:t>
      </w:r>
      <w:r w:rsidR="005D7BBD" w:rsidRPr="0065408A">
        <w:rPr>
          <w:rFonts w:ascii="Arial" w:hAnsi="Arial" w:cs="Arial"/>
          <w:sz w:val="24"/>
          <w:szCs w:val="24"/>
          <w:lang w:val="en-US"/>
        </w:rPr>
        <w:t>)</w:t>
      </w:r>
      <w:r w:rsidR="002265E4" w:rsidRPr="0065408A">
        <w:rPr>
          <w:rFonts w:ascii="Arial" w:hAnsi="Arial" w:cs="Arial"/>
          <w:sz w:val="24"/>
          <w:szCs w:val="24"/>
          <w:lang w:val="en-US"/>
        </w:rPr>
        <w:t xml:space="preserve"> respectively.</w:t>
      </w:r>
      <w:r w:rsidRPr="0065408A">
        <w:rPr>
          <w:rFonts w:ascii="Arial" w:hAnsi="Arial" w:cs="Arial"/>
          <w:sz w:val="24"/>
          <w:szCs w:val="24"/>
          <w:lang w:val="en-US"/>
        </w:rPr>
        <w:t xml:space="preserve"> </w:t>
      </w:r>
    </w:p>
    <w:p w14:paraId="1A18B6E3" w14:textId="412CEF91" w:rsidR="002265E4" w:rsidRPr="0065408A" w:rsidRDefault="002265E4" w:rsidP="00830047">
      <w:pPr>
        <w:spacing w:after="0" w:line="480" w:lineRule="auto"/>
        <w:rPr>
          <w:rFonts w:ascii="Arial" w:hAnsi="Arial" w:cs="Arial"/>
          <w:sz w:val="24"/>
          <w:szCs w:val="24"/>
          <w:lang w:val="en-US"/>
        </w:rPr>
      </w:pPr>
    </w:p>
    <w:p w14:paraId="69AF8262" w14:textId="6C2668FD" w:rsidR="00C36E60" w:rsidRPr="0065408A" w:rsidRDefault="00F24446" w:rsidP="00830047">
      <w:pPr>
        <w:spacing w:after="0" w:line="480" w:lineRule="auto"/>
        <w:rPr>
          <w:rFonts w:ascii="Arial" w:hAnsi="Arial" w:cs="Arial"/>
          <w:bCs/>
          <w:sz w:val="24"/>
          <w:szCs w:val="24"/>
          <w:lang w:val="en-US"/>
        </w:rPr>
      </w:pPr>
      <w:r w:rsidRPr="0065408A">
        <w:rPr>
          <w:rFonts w:ascii="Arial" w:hAnsi="Arial" w:cs="Arial"/>
          <w:sz w:val="24"/>
          <w:szCs w:val="24"/>
          <w:lang w:val="en-US"/>
        </w:rPr>
        <w:t>Comparatively,</w:t>
      </w:r>
      <w:r w:rsidR="002265E4" w:rsidRPr="0065408A">
        <w:rPr>
          <w:rFonts w:ascii="Arial" w:hAnsi="Arial" w:cs="Arial"/>
          <w:sz w:val="24"/>
          <w:szCs w:val="24"/>
          <w:lang w:val="en-US"/>
        </w:rPr>
        <w:t xml:space="preserve"> a recent study on </w:t>
      </w:r>
      <w:r w:rsidR="002265E4" w:rsidRPr="0065408A">
        <w:rPr>
          <w:rFonts w:ascii="Arial" w:hAnsi="Arial" w:cs="Arial"/>
          <w:bCs/>
          <w:sz w:val="24"/>
          <w:szCs w:val="24"/>
          <w:lang w:val="en-US"/>
        </w:rPr>
        <w:t xml:space="preserve">200 cognitively-intact and functionally-independent community-dwelling </w:t>
      </w:r>
      <w:r w:rsidR="00036129" w:rsidRPr="0065408A">
        <w:rPr>
          <w:rFonts w:ascii="Arial" w:hAnsi="Arial" w:cs="Arial"/>
          <w:bCs/>
          <w:sz w:val="24"/>
          <w:szCs w:val="24"/>
          <w:lang w:val="en-US"/>
        </w:rPr>
        <w:t>adults</w:t>
      </w:r>
      <w:r w:rsidR="002265E4" w:rsidRPr="0065408A">
        <w:rPr>
          <w:rFonts w:ascii="Arial" w:hAnsi="Arial" w:cs="Arial"/>
          <w:bCs/>
          <w:sz w:val="24"/>
          <w:szCs w:val="24"/>
          <w:lang w:val="en-US"/>
        </w:rPr>
        <w:t xml:space="preserve"> in Singapore (≥50 years) reported </w:t>
      </w:r>
      <w:r w:rsidRPr="0065408A">
        <w:rPr>
          <w:rFonts w:ascii="Arial" w:hAnsi="Arial" w:cs="Arial"/>
          <w:bCs/>
          <w:sz w:val="24"/>
          <w:szCs w:val="24"/>
          <w:lang w:val="en-US"/>
        </w:rPr>
        <w:t xml:space="preserve">a </w:t>
      </w:r>
      <w:r w:rsidR="002265E4" w:rsidRPr="0065408A">
        <w:rPr>
          <w:rFonts w:ascii="Arial" w:hAnsi="Arial" w:cs="Arial"/>
          <w:bCs/>
          <w:sz w:val="24"/>
          <w:szCs w:val="24"/>
          <w:lang w:val="en-US"/>
        </w:rPr>
        <w:t xml:space="preserve">prevalence of </w:t>
      </w:r>
      <w:r w:rsidRPr="0065408A">
        <w:rPr>
          <w:rFonts w:ascii="Arial" w:hAnsi="Arial" w:cs="Arial"/>
          <w:bCs/>
          <w:sz w:val="24"/>
          <w:szCs w:val="24"/>
          <w:lang w:val="en-US"/>
        </w:rPr>
        <w:t xml:space="preserve">10.5% and 10.0% </w:t>
      </w:r>
      <w:r w:rsidR="002265E4" w:rsidRPr="0065408A">
        <w:rPr>
          <w:rFonts w:ascii="Arial" w:hAnsi="Arial" w:cs="Arial"/>
          <w:bCs/>
          <w:sz w:val="24"/>
          <w:szCs w:val="24"/>
          <w:lang w:val="en-US"/>
        </w:rPr>
        <w:t>based on WC</w:t>
      </w:r>
      <w:r w:rsidR="0046576B" w:rsidRPr="0065408A">
        <w:rPr>
          <w:rFonts w:ascii="Arial" w:hAnsi="Arial" w:cs="Arial"/>
          <w:bCs/>
          <w:sz w:val="24"/>
          <w:szCs w:val="24"/>
          <w:lang w:val="en-US"/>
        </w:rPr>
        <w:t>-based</w:t>
      </w:r>
      <w:r w:rsidR="002265E4" w:rsidRPr="0065408A">
        <w:rPr>
          <w:rFonts w:ascii="Arial" w:hAnsi="Arial" w:cs="Arial"/>
          <w:bCs/>
          <w:sz w:val="24"/>
          <w:szCs w:val="24"/>
          <w:lang w:val="en-US"/>
        </w:rPr>
        <w:t xml:space="preserve"> and </w:t>
      </w:r>
      <w:r w:rsidR="00DB3054" w:rsidRPr="0065408A">
        <w:rPr>
          <w:rFonts w:ascii="Arial" w:hAnsi="Arial" w:cs="Arial"/>
          <w:bCs/>
          <w:sz w:val="24"/>
          <w:szCs w:val="24"/>
          <w:lang w:val="en-US"/>
        </w:rPr>
        <w:t>PBF</w:t>
      </w:r>
      <w:r w:rsidR="0046576B" w:rsidRPr="0065408A">
        <w:rPr>
          <w:rFonts w:ascii="Arial" w:hAnsi="Arial" w:cs="Arial"/>
          <w:bCs/>
          <w:sz w:val="24"/>
          <w:szCs w:val="24"/>
          <w:lang w:val="en-US"/>
        </w:rPr>
        <w:t>-based</w:t>
      </w:r>
      <w:r w:rsidR="002265E4" w:rsidRPr="0065408A">
        <w:rPr>
          <w:rFonts w:ascii="Arial" w:hAnsi="Arial" w:cs="Arial"/>
          <w:bCs/>
          <w:sz w:val="24"/>
          <w:szCs w:val="24"/>
          <w:lang w:val="en-US"/>
        </w:rPr>
        <w:t xml:space="preserve"> </w:t>
      </w:r>
      <w:r w:rsidRPr="0065408A">
        <w:rPr>
          <w:rFonts w:ascii="Arial" w:hAnsi="Arial" w:cs="Arial"/>
          <w:bCs/>
          <w:sz w:val="24"/>
          <w:szCs w:val="24"/>
          <w:lang w:val="en-US"/>
        </w:rPr>
        <w:t xml:space="preserve">definitions </w:t>
      </w:r>
      <w:r w:rsidR="0046576B" w:rsidRPr="0065408A">
        <w:rPr>
          <w:rFonts w:ascii="Arial" w:hAnsi="Arial" w:cs="Arial"/>
          <w:bCs/>
          <w:sz w:val="24"/>
          <w:szCs w:val="24"/>
          <w:lang w:val="en-US"/>
        </w:rPr>
        <w:t xml:space="preserve">of SO </w:t>
      </w:r>
      <w:r w:rsidR="002265E4" w:rsidRPr="0065408A">
        <w:rPr>
          <w:rFonts w:ascii="Arial" w:hAnsi="Arial" w:cs="Arial"/>
          <w:bCs/>
          <w:sz w:val="24"/>
          <w:szCs w:val="24"/>
          <w:lang w:val="en-US"/>
        </w:rPr>
        <w:t>respectively</w:t>
      </w:r>
      <w:r w:rsidR="00EB1018" w:rsidRPr="0065408A">
        <w:rPr>
          <w:rFonts w:ascii="Arial" w:hAnsi="Arial" w:cs="Arial"/>
          <w:bCs/>
          <w:sz w:val="24"/>
          <w:szCs w:val="24"/>
          <w:lang w:val="en-US"/>
        </w:rPr>
        <w:t xml:space="preserve"> (5)</w:t>
      </w:r>
      <w:r w:rsidR="002265E4" w:rsidRPr="0065408A">
        <w:rPr>
          <w:rFonts w:ascii="Arial" w:hAnsi="Arial" w:cs="Arial"/>
          <w:bCs/>
          <w:sz w:val="24"/>
          <w:szCs w:val="24"/>
          <w:lang w:val="en-US"/>
        </w:rPr>
        <w:t xml:space="preserve">, slightly </w:t>
      </w:r>
      <w:r w:rsidR="005D0FA2" w:rsidRPr="0065408A">
        <w:rPr>
          <w:rFonts w:ascii="Arial" w:hAnsi="Arial" w:cs="Arial"/>
          <w:bCs/>
          <w:sz w:val="24"/>
          <w:szCs w:val="24"/>
          <w:lang w:val="en-US"/>
        </w:rPr>
        <w:t>lower</w:t>
      </w:r>
      <w:r w:rsidR="002265E4" w:rsidRPr="0065408A">
        <w:rPr>
          <w:rFonts w:ascii="Arial" w:hAnsi="Arial" w:cs="Arial"/>
          <w:bCs/>
          <w:sz w:val="24"/>
          <w:szCs w:val="24"/>
          <w:lang w:val="en-US"/>
        </w:rPr>
        <w:t xml:space="preserve"> than the 15.4% and 10.7% in the present study (≥50 years).</w:t>
      </w:r>
      <w:r w:rsidR="005D0FA2" w:rsidRPr="0065408A">
        <w:rPr>
          <w:rFonts w:ascii="Arial" w:hAnsi="Arial" w:cs="Arial"/>
          <w:bCs/>
          <w:sz w:val="24"/>
          <w:szCs w:val="24"/>
          <w:lang w:val="en-US"/>
        </w:rPr>
        <w:t xml:space="preserve"> </w:t>
      </w:r>
      <w:r w:rsidR="00904A39" w:rsidRPr="0065408A">
        <w:rPr>
          <w:rFonts w:ascii="Arial" w:hAnsi="Arial" w:cs="Arial"/>
          <w:bCs/>
          <w:sz w:val="24"/>
          <w:szCs w:val="24"/>
          <w:lang w:val="en-US"/>
        </w:rPr>
        <w:t>Notably</w:t>
      </w:r>
      <w:r w:rsidR="005D0FA2" w:rsidRPr="0065408A">
        <w:rPr>
          <w:rFonts w:ascii="Arial" w:hAnsi="Arial" w:cs="Arial"/>
          <w:bCs/>
          <w:sz w:val="24"/>
          <w:szCs w:val="24"/>
          <w:lang w:val="en-US"/>
        </w:rPr>
        <w:t>, the authors used the original AWGS criteria to define sarcopenia</w:t>
      </w:r>
      <w:r w:rsidR="00EB1018" w:rsidRPr="0065408A">
        <w:rPr>
          <w:rFonts w:ascii="Arial" w:hAnsi="Arial" w:cs="Arial"/>
          <w:bCs/>
          <w:sz w:val="24"/>
          <w:szCs w:val="24"/>
          <w:lang w:val="en-US"/>
        </w:rPr>
        <w:t xml:space="preserve"> (</w:t>
      </w:r>
      <w:r w:rsidR="00D714C2">
        <w:rPr>
          <w:rFonts w:ascii="Arial" w:hAnsi="Arial" w:cs="Arial"/>
          <w:bCs/>
          <w:sz w:val="24"/>
          <w:szCs w:val="24"/>
          <w:lang w:val="en-US"/>
        </w:rPr>
        <w:t>20</w:t>
      </w:r>
      <w:r w:rsidR="00EB1018" w:rsidRPr="0065408A">
        <w:rPr>
          <w:rFonts w:ascii="Arial" w:hAnsi="Arial" w:cs="Arial"/>
          <w:bCs/>
          <w:sz w:val="24"/>
          <w:szCs w:val="24"/>
          <w:lang w:val="en-US"/>
        </w:rPr>
        <w:t>)</w:t>
      </w:r>
      <w:r w:rsidR="005D0FA2" w:rsidRPr="0065408A">
        <w:rPr>
          <w:rFonts w:ascii="Arial" w:hAnsi="Arial" w:cs="Arial"/>
          <w:bCs/>
          <w:sz w:val="24"/>
          <w:szCs w:val="24"/>
          <w:lang w:val="en-US"/>
        </w:rPr>
        <w:t xml:space="preserve">, with lower cut-offs for muscle strength and gait speed and thus lower detection rates </w:t>
      </w:r>
      <w:r w:rsidR="00043EBB" w:rsidRPr="0065408A">
        <w:rPr>
          <w:rFonts w:ascii="Arial" w:hAnsi="Arial" w:cs="Arial"/>
          <w:bCs/>
          <w:sz w:val="24"/>
          <w:szCs w:val="24"/>
          <w:lang w:val="en-US"/>
        </w:rPr>
        <w:t>compared to the</w:t>
      </w:r>
      <w:r w:rsidR="005D0FA2" w:rsidRPr="0065408A">
        <w:rPr>
          <w:rFonts w:ascii="Arial" w:hAnsi="Arial" w:cs="Arial"/>
          <w:bCs/>
          <w:sz w:val="24"/>
          <w:szCs w:val="24"/>
          <w:lang w:val="en-US"/>
        </w:rPr>
        <w:t xml:space="preserve"> updated AWGS criteria</w:t>
      </w:r>
      <w:r w:rsidR="00EB1018" w:rsidRPr="0065408A">
        <w:rPr>
          <w:rFonts w:ascii="Arial" w:hAnsi="Arial" w:cs="Arial"/>
          <w:bCs/>
          <w:sz w:val="24"/>
          <w:szCs w:val="24"/>
          <w:lang w:val="en-US"/>
        </w:rPr>
        <w:t xml:space="preserve"> (2)</w:t>
      </w:r>
      <w:r w:rsidR="005D0FA2" w:rsidRPr="0065408A">
        <w:rPr>
          <w:rFonts w:ascii="Arial" w:hAnsi="Arial" w:cs="Arial"/>
          <w:bCs/>
          <w:sz w:val="24"/>
          <w:szCs w:val="24"/>
          <w:lang w:val="en-US"/>
        </w:rPr>
        <w:t>.</w:t>
      </w:r>
      <w:r w:rsidR="002265E4" w:rsidRPr="0065408A">
        <w:rPr>
          <w:rFonts w:ascii="Arial" w:hAnsi="Arial" w:cs="Arial"/>
          <w:bCs/>
          <w:sz w:val="24"/>
          <w:szCs w:val="24"/>
          <w:lang w:val="en-US"/>
        </w:rPr>
        <w:t xml:space="preserve"> </w:t>
      </w:r>
      <w:r w:rsidR="00C36E60" w:rsidRPr="0065408A">
        <w:rPr>
          <w:rFonts w:ascii="Arial" w:hAnsi="Arial" w:cs="Arial"/>
          <w:bCs/>
          <w:sz w:val="24"/>
          <w:szCs w:val="24"/>
          <w:lang w:val="en-US"/>
        </w:rPr>
        <w:t>A</w:t>
      </w:r>
      <w:r w:rsidR="0046576B" w:rsidRPr="0065408A">
        <w:rPr>
          <w:rFonts w:ascii="Arial" w:hAnsi="Arial" w:cs="Arial"/>
          <w:bCs/>
          <w:sz w:val="24"/>
          <w:szCs w:val="24"/>
          <w:lang w:val="en-US"/>
        </w:rPr>
        <w:t>nother</w:t>
      </w:r>
      <w:r w:rsidR="00C36E60" w:rsidRPr="0065408A">
        <w:rPr>
          <w:rFonts w:ascii="Arial" w:hAnsi="Arial" w:cs="Arial"/>
          <w:bCs/>
          <w:sz w:val="24"/>
          <w:szCs w:val="24"/>
          <w:lang w:val="en-US"/>
        </w:rPr>
        <w:t xml:space="preserve"> study involving 591 healthy volunteers in Korea found a prevalence of 10.9% (40-59 years) and 18.0% (≥60 years) using the </w:t>
      </w:r>
      <w:r w:rsidR="00DB3054" w:rsidRPr="0065408A">
        <w:rPr>
          <w:rFonts w:ascii="Arial" w:hAnsi="Arial" w:cs="Arial"/>
          <w:bCs/>
          <w:sz w:val="24"/>
          <w:szCs w:val="24"/>
          <w:lang w:val="en-US"/>
        </w:rPr>
        <w:t>PBF</w:t>
      </w:r>
      <w:r w:rsidR="00955009" w:rsidRPr="0065408A">
        <w:rPr>
          <w:rFonts w:ascii="Arial" w:hAnsi="Arial" w:cs="Arial"/>
          <w:bCs/>
          <w:sz w:val="24"/>
          <w:szCs w:val="24"/>
          <w:lang w:val="en-US"/>
        </w:rPr>
        <w:t>-based</w:t>
      </w:r>
      <w:r w:rsidR="00C36E60" w:rsidRPr="0065408A">
        <w:rPr>
          <w:rFonts w:ascii="Arial" w:hAnsi="Arial" w:cs="Arial"/>
          <w:bCs/>
          <w:sz w:val="24"/>
          <w:szCs w:val="24"/>
          <w:lang w:val="en-US"/>
        </w:rPr>
        <w:t xml:space="preserve"> definition</w:t>
      </w:r>
      <w:r w:rsidR="00EB1018" w:rsidRPr="0065408A">
        <w:rPr>
          <w:rFonts w:ascii="Arial" w:hAnsi="Arial" w:cs="Arial"/>
          <w:bCs/>
          <w:sz w:val="24"/>
          <w:szCs w:val="24"/>
          <w:lang w:val="en-US"/>
        </w:rPr>
        <w:t xml:space="preserve"> (4)</w:t>
      </w:r>
      <w:r w:rsidR="00C36E60" w:rsidRPr="0065408A">
        <w:rPr>
          <w:rFonts w:ascii="Arial" w:hAnsi="Arial" w:cs="Arial"/>
          <w:bCs/>
          <w:sz w:val="24"/>
          <w:szCs w:val="24"/>
          <w:lang w:val="en-US"/>
        </w:rPr>
        <w:t>, higher than the 2.1% (40-59 years) and 16.1% (≥60 years) in the present study. However, their criteria did not include the functional components of sarcopenia</w:t>
      </w:r>
      <w:r w:rsidR="00EB1018" w:rsidRPr="0065408A">
        <w:rPr>
          <w:rFonts w:ascii="Arial" w:hAnsi="Arial" w:cs="Arial"/>
          <w:bCs/>
          <w:sz w:val="24"/>
          <w:szCs w:val="24"/>
          <w:lang w:val="en-US"/>
        </w:rPr>
        <w:t xml:space="preserve"> (2)</w:t>
      </w:r>
      <w:r w:rsidR="00C36E60" w:rsidRPr="0065408A">
        <w:rPr>
          <w:rFonts w:ascii="Arial" w:hAnsi="Arial" w:cs="Arial"/>
          <w:bCs/>
          <w:sz w:val="24"/>
          <w:szCs w:val="24"/>
          <w:lang w:val="en-US"/>
        </w:rPr>
        <w:t>, and their population-derived cut-offs for low muscle mass were much higher at 8.81 and 7.36 kg/m</w:t>
      </w:r>
      <w:r w:rsidR="00C36E60" w:rsidRPr="0065408A">
        <w:rPr>
          <w:rFonts w:ascii="Arial" w:hAnsi="Arial" w:cs="Arial"/>
          <w:bCs/>
          <w:sz w:val="24"/>
          <w:szCs w:val="24"/>
          <w:vertAlign w:val="superscript"/>
          <w:lang w:val="en-US"/>
        </w:rPr>
        <w:t>2</w:t>
      </w:r>
      <w:r w:rsidR="00C36E60" w:rsidRPr="0065408A">
        <w:rPr>
          <w:rFonts w:ascii="Arial" w:hAnsi="Arial" w:cs="Arial"/>
          <w:bCs/>
          <w:sz w:val="24"/>
          <w:szCs w:val="24"/>
          <w:lang w:val="en-US"/>
        </w:rPr>
        <w:t xml:space="preserve"> compared to AWGS’ 7.0 and 5.4 kg/m</w:t>
      </w:r>
      <w:r w:rsidR="00C36E60" w:rsidRPr="0065408A">
        <w:rPr>
          <w:rFonts w:ascii="Arial" w:hAnsi="Arial" w:cs="Arial"/>
          <w:bCs/>
          <w:sz w:val="24"/>
          <w:szCs w:val="24"/>
          <w:vertAlign w:val="superscript"/>
          <w:lang w:val="en-US"/>
        </w:rPr>
        <w:t>2</w:t>
      </w:r>
      <w:r w:rsidR="00C36E60" w:rsidRPr="0065408A">
        <w:rPr>
          <w:rFonts w:ascii="Arial" w:hAnsi="Arial" w:cs="Arial"/>
          <w:bCs/>
          <w:sz w:val="24"/>
          <w:szCs w:val="24"/>
          <w:lang w:val="en-US"/>
        </w:rPr>
        <w:t xml:space="preserve"> used in the present study</w:t>
      </w:r>
      <w:r w:rsidR="00EB1018" w:rsidRPr="0065408A">
        <w:rPr>
          <w:rFonts w:ascii="Arial" w:hAnsi="Arial" w:cs="Arial"/>
          <w:bCs/>
          <w:sz w:val="24"/>
          <w:szCs w:val="24"/>
          <w:lang w:val="en-US"/>
        </w:rPr>
        <w:t xml:space="preserve"> (2,</w:t>
      </w:r>
      <w:r w:rsidR="00D714C2">
        <w:rPr>
          <w:rFonts w:ascii="Arial" w:hAnsi="Arial" w:cs="Arial"/>
          <w:bCs/>
          <w:sz w:val="24"/>
          <w:szCs w:val="24"/>
          <w:lang w:val="en-US"/>
        </w:rPr>
        <w:t>20</w:t>
      </w:r>
      <w:r w:rsidR="00EB1018" w:rsidRPr="0065408A">
        <w:rPr>
          <w:rFonts w:ascii="Arial" w:hAnsi="Arial" w:cs="Arial"/>
          <w:bCs/>
          <w:sz w:val="24"/>
          <w:szCs w:val="24"/>
          <w:lang w:val="en-US"/>
        </w:rPr>
        <w:t>)</w:t>
      </w:r>
      <w:r w:rsidR="00C36E60" w:rsidRPr="0065408A">
        <w:rPr>
          <w:rFonts w:ascii="Arial" w:hAnsi="Arial" w:cs="Arial"/>
          <w:bCs/>
          <w:sz w:val="24"/>
          <w:szCs w:val="24"/>
          <w:lang w:val="en-US"/>
        </w:rPr>
        <w:t xml:space="preserve">. </w:t>
      </w:r>
    </w:p>
    <w:p w14:paraId="1ABA99EF" w14:textId="55AECA06" w:rsidR="009B4E4A" w:rsidRPr="0065408A" w:rsidRDefault="009B4E4A" w:rsidP="00830047">
      <w:pPr>
        <w:spacing w:after="0" w:line="480" w:lineRule="auto"/>
        <w:rPr>
          <w:rFonts w:ascii="Arial" w:hAnsi="Arial" w:cs="Arial"/>
          <w:bCs/>
          <w:sz w:val="24"/>
          <w:szCs w:val="24"/>
          <w:lang w:val="en-US"/>
        </w:rPr>
      </w:pPr>
    </w:p>
    <w:p w14:paraId="1940F3FB" w14:textId="259996C9" w:rsidR="00A65D45" w:rsidRPr="0065408A" w:rsidRDefault="00750A82"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Using one-way analysis of variance (ANOVA) with Bonferroni correction for post-hoc comparisons, the SO phenotype consistently performed poorer </w:t>
      </w:r>
      <w:r w:rsidR="007F297C" w:rsidRPr="0065408A">
        <w:rPr>
          <w:rFonts w:ascii="Arial" w:hAnsi="Arial" w:cs="Arial"/>
          <w:sz w:val="24"/>
          <w:szCs w:val="24"/>
          <w:lang w:val="en-US"/>
        </w:rPr>
        <w:t xml:space="preserve">than the obese-only group </w:t>
      </w:r>
      <w:r w:rsidRPr="0065408A">
        <w:rPr>
          <w:rFonts w:ascii="Arial" w:hAnsi="Arial" w:cs="Arial"/>
          <w:sz w:val="24"/>
          <w:szCs w:val="24"/>
          <w:lang w:val="en-US"/>
        </w:rPr>
        <w:t>in all measures of muscle</w:t>
      </w:r>
      <w:r w:rsidR="006E2A8F" w:rsidRPr="0065408A">
        <w:rPr>
          <w:rFonts w:ascii="Arial" w:hAnsi="Arial" w:cs="Arial"/>
          <w:sz w:val="24"/>
          <w:szCs w:val="24"/>
          <w:lang w:val="en-US"/>
        </w:rPr>
        <w:t>/physical</w:t>
      </w:r>
      <w:r w:rsidRPr="0065408A">
        <w:rPr>
          <w:rFonts w:ascii="Arial" w:hAnsi="Arial" w:cs="Arial"/>
          <w:sz w:val="24"/>
          <w:szCs w:val="24"/>
          <w:lang w:val="en-US"/>
        </w:rPr>
        <w:t xml:space="preserve"> function for the WC, </w:t>
      </w:r>
      <w:r w:rsidR="00DB3054" w:rsidRPr="0065408A">
        <w:rPr>
          <w:rFonts w:ascii="Arial" w:hAnsi="Arial" w:cs="Arial"/>
          <w:sz w:val="24"/>
          <w:szCs w:val="24"/>
          <w:lang w:val="en-US"/>
        </w:rPr>
        <w:t>PBF</w:t>
      </w:r>
      <w:r w:rsidRPr="0065408A">
        <w:rPr>
          <w:rFonts w:ascii="Arial" w:hAnsi="Arial" w:cs="Arial"/>
          <w:sz w:val="24"/>
          <w:szCs w:val="24"/>
          <w:lang w:val="en-US"/>
        </w:rPr>
        <w:t xml:space="preserve"> and FMI</w:t>
      </w:r>
      <w:r w:rsidR="00955009" w:rsidRPr="0065408A">
        <w:rPr>
          <w:rFonts w:ascii="Arial" w:hAnsi="Arial" w:cs="Arial"/>
          <w:sz w:val="24"/>
          <w:szCs w:val="24"/>
          <w:lang w:val="en-US"/>
        </w:rPr>
        <w:t>-based</w:t>
      </w:r>
      <w:r w:rsidRPr="0065408A">
        <w:rPr>
          <w:rFonts w:ascii="Arial" w:hAnsi="Arial" w:cs="Arial"/>
          <w:sz w:val="24"/>
          <w:szCs w:val="24"/>
          <w:lang w:val="en-US"/>
        </w:rPr>
        <w:t xml:space="preserve"> definitions</w:t>
      </w:r>
      <w:r w:rsidR="00955009" w:rsidRPr="0065408A">
        <w:rPr>
          <w:rFonts w:ascii="Arial" w:hAnsi="Arial" w:cs="Arial"/>
          <w:sz w:val="24"/>
          <w:szCs w:val="24"/>
          <w:lang w:val="en-US"/>
        </w:rPr>
        <w:t xml:space="preserve"> of SO. C</w:t>
      </w:r>
      <w:r w:rsidRPr="0065408A">
        <w:rPr>
          <w:rFonts w:ascii="Arial" w:hAnsi="Arial" w:cs="Arial"/>
          <w:sz w:val="24"/>
          <w:szCs w:val="24"/>
          <w:lang w:val="en-US"/>
        </w:rPr>
        <w:t>ompared to the sarcopeni</w:t>
      </w:r>
      <w:r w:rsidR="00AE6DDD" w:rsidRPr="0065408A">
        <w:rPr>
          <w:rFonts w:ascii="Arial" w:hAnsi="Arial" w:cs="Arial"/>
          <w:sz w:val="24"/>
          <w:szCs w:val="24"/>
          <w:lang w:val="en-US"/>
        </w:rPr>
        <w:t>c</w:t>
      </w:r>
      <w:r w:rsidRPr="0065408A">
        <w:rPr>
          <w:rFonts w:ascii="Arial" w:hAnsi="Arial" w:cs="Arial"/>
          <w:sz w:val="24"/>
          <w:szCs w:val="24"/>
          <w:lang w:val="en-US"/>
        </w:rPr>
        <w:t xml:space="preserve">-only group, the SO phenotype performed worse in the SPPB and TUG assessments for the </w:t>
      </w:r>
      <w:r w:rsidR="00DB3054" w:rsidRPr="0065408A">
        <w:rPr>
          <w:rFonts w:ascii="Arial" w:hAnsi="Arial" w:cs="Arial"/>
          <w:sz w:val="24"/>
          <w:szCs w:val="24"/>
          <w:lang w:val="en-US"/>
        </w:rPr>
        <w:t>PBF</w:t>
      </w:r>
      <w:r w:rsidR="00955009" w:rsidRPr="0065408A">
        <w:rPr>
          <w:rFonts w:ascii="Arial" w:hAnsi="Arial" w:cs="Arial"/>
          <w:sz w:val="24"/>
          <w:szCs w:val="24"/>
          <w:lang w:val="en-US"/>
        </w:rPr>
        <w:t>-based</w:t>
      </w:r>
      <w:r w:rsidRPr="0065408A">
        <w:rPr>
          <w:rFonts w:ascii="Arial" w:hAnsi="Arial" w:cs="Arial"/>
          <w:sz w:val="24"/>
          <w:szCs w:val="24"/>
          <w:lang w:val="en-US"/>
        </w:rPr>
        <w:t xml:space="preserve"> and FMI</w:t>
      </w:r>
      <w:r w:rsidR="00955009" w:rsidRPr="0065408A">
        <w:rPr>
          <w:rFonts w:ascii="Arial" w:hAnsi="Arial" w:cs="Arial"/>
          <w:sz w:val="24"/>
          <w:szCs w:val="24"/>
          <w:lang w:val="en-US"/>
        </w:rPr>
        <w:t>-based</w:t>
      </w:r>
      <w:r w:rsidRPr="0065408A">
        <w:rPr>
          <w:rFonts w:ascii="Arial" w:hAnsi="Arial" w:cs="Arial"/>
          <w:sz w:val="24"/>
          <w:szCs w:val="24"/>
          <w:lang w:val="en-US"/>
        </w:rPr>
        <w:t xml:space="preserve"> </w:t>
      </w:r>
      <w:r w:rsidR="00955009" w:rsidRPr="0065408A">
        <w:rPr>
          <w:rFonts w:ascii="Arial" w:hAnsi="Arial" w:cs="Arial"/>
          <w:sz w:val="24"/>
          <w:szCs w:val="24"/>
          <w:lang w:val="en-US"/>
        </w:rPr>
        <w:t xml:space="preserve">SO </w:t>
      </w:r>
      <w:r w:rsidRPr="0065408A">
        <w:rPr>
          <w:rFonts w:ascii="Arial" w:hAnsi="Arial" w:cs="Arial"/>
          <w:sz w:val="24"/>
          <w:szCs w:val="24"/>
          <w:lang w:val="en-US"/>
        </w:rPr>
        <w:t xml:space="preserve">definitions. </w:t>
      </w:r>
      <w:r w:rsidR="007C698C" w:rsidRPr="0065408A">
        <w:rPr>
          <w:rFonts w:ascii="Arial" w:hAnsi="Arial" w:cs="Arial"/>
          <w:sz w:val="24"/>
          <w:szCs w:val="24"/>
          <w:lang w:val="en-US"/>
        </w:rPr>
        <w:t>Physical</w:t>
      </w:r>
      <w:r w:rsidR="006E2A8F" w:rsidRPr="0065408A">
        <w:rPr>
          <w:rFonts w:ascii="Arial" w:hAnsi="Arial" w:cs="Arial"/>
          <w:sz w:val="24"/>
          <w:szCs w:val="24"/>
          <w:lang w:val="en-US"/>
        </w:rPr>
        <w:t xml:space="preserve"> function impairment in the absence of disability likely represent</w:t>
      </w:r>
      <w:r w:rsidR="007C698C" w:rsidRPr="0065408A">
        <w:rPr>
          <w:rFonts w:ascii="Arial" w:hAnsi="Arial" w:cs="Arial"/>
          <w:sz w:val="24"/>
          <w:szCs w:val="24"/>
          <w:lang w:val="en-US"/>
        </w:rPr>
        <w:t>s</w:t>
      </w:r>
      <w:r w:rsidR="006E2A8F" w:rsidRPr="0065408A">
        <w:rPr>
          <w:rFonts w:ascii="Arial" w:hAnsi="Arial" w:cs="Arial"/>
          <w:sz w:val="24"/>
          <w:szCs w:val="24"/>
          <w:lang w:val="en-US"/>
        </w:rPr>
        <w:t xml:space="preserve"> the shared core of sarcopenia and physical frailty. Such functional deterioration with deficits in gait speed, balance, and muscle strength, can be objectively assessed through t</w:t>
      </w:r>
      <w:r w:rsidR="00A411D0" w:rsidRPr="0065408A">
        <w:rPr>
          <w:rFonts w:ascii="Arial" w:hAnsi="Arial" w:cs="Arial"/>
          <w:sz w:val="24"/>
          <w:szCs w:val="24"/>
          <w:lang w:val="en-US"/>
        </w:rPr>
        <w:t>he</w:t>
      </w:r>
      <w:r w:rsidR="006E2A8F" w:rsidRPr="0065408A">
        <w:rPr>
          <w:rFonts w:ascii="Arial" w:hAnsi="Arial" w:cs="Arial"/>
          <w:sz w:val="24"/>
          <w:szCs w:val="24"/>
          <w:lang w:val="en-US"/>
        </w:rPr>
        <w:t xml:space="preserve"> SPPB</w:t>
      </w:r>
      <w:r w:rsidR="00EB1018" w:rsidRPr="0065408A">
        <w:rPr>
          <w:rFonts w:ascii="Arial" w:hAnsi="Arial" w:cs="Arial"/>
          <w:sz w:val="24"/>
          <w:szCs w:val="24"/>
          <w:lang w:val="en-US"/>
        </w:rPr>
        <w:t xml:space="preserve"> (</w:t>
      </w:r>
      <w:r w:rsidR="00D714C2">
        <w:rPr>
          <w:rFonts w:ascii="Arial" w:hAnsi="Arial" w:cs="Arial"/>
          <w:sz w:val="24"/>
          <w:szCs w:val="24"/>
          <w:lang w:val="en-US"/>
        </w:rPr>
        <w:t>21</w:t>
      </w:r>
      <w:r w:rsidR="00EB1018" w:rsidRPr="0065408A">
        <w:rPr>
          <w:rFonts w:ascii="Arial" w:hAnsi="Arial" w:cs="Arial"/>
          <w:sz w:val="24"/>
          <w:szCs w:val="24"/>
          <w:lang w:val="en-US"/>
        </w:rPr>
        <w:t>).</w:t>
      </w:r>
      <w:r w:rsidR="006E2A8F" w:rsidRPr="0065408A">
        <w:rPr>
          <w:rFonts w:ascii="Arial" w:hAnsi="Arial" w:cs="Arial"/>
          <w:sz w:val="24"/>
          <w:szCs w:val="24"/>
          <w:lang w:val="en-US"/>
        </w:rPr>
        <w:t> </w:t>
      </w:r>
      <w:r w:rsidR="00A37E11" w:rsidRPr="0065408A">
        <w:rPr>
          <w:rFonts w:ascii="Arial" w:hAnsi="Arial" w:cs="Arial"/>
          <w:sz w:val="24"/>
          <w:szCs w:val="24"/>
          <w:lang w:val="en-US"/>
        </w:rPr>
        <w:t>G</w:t>
      </w:r>
      <w:r w:rsidR="00270B93" w:rsidRPr="0065408A">
        <w:rPr>
          <w:rFonts w:ascii="Arial" w:hAnsi="Arial" w:cs="Arial"/>
          <w:sz w:val="24"/>
          <w:szCs w:val="24"/>
          <w:lang w:val="en-US"/>
        </w:rPr>
        <w:t>iven that the SPPB</w:t>
      </w:r>
      <w:r w:rsidR="006E2A8F" w:rsidRPr="0065408A">
        <w:rPr>
          <w:rFonts w:ascii="Arial" w:hAnsi="Arial" w:cs="Arial"/>
          <w:sz w:val="24"/>
          <w:szCs w:val="24"/>
          <w:lang w:val="en-US"/>
        </w:rPr>
        <w:t xml:space="preserve"> </w:t>
      </w:r>
      <w:r w:rsidR="00270B93" w:rsidRPr="0065408A">
        <w:rPr>
          <w:rFonts w:ascii="Arial" w:hAnsi="Arial" w:cs="Arial"/>
          <w:sz w:val="24"/>
          <w:szCs w:val="24"/>
          <w:lang w:val="en-US"/>
        </w:rPr>
        <w:t>is considered one of the most reliable and valid assessment</w:t>
      </w:r>
      <w:r w:rsidR="0065592F" w:rsidRPr="0065408A">
        <w:rPr>
          <w:rFonts w:ascii="Arial" w:hAnsi="Arial" w:cs="Arial"/>
          <w:sz w:val="24"/>
          <w:szCs w:val="24"/>
          <w:lang w:val="en-US"/>
        </w:rPr>
        <w:t>s</w:t>
      </w:r>
      <w:r w:rsidR="00270B93" w:rsidRPr="0065408A">
        <w:rPr>
          <w:rFonts w:ascii="Arial" w:hAnsi="Arial" w:cs="Arial"/>
          <w:sz w:val="24"/>
          <w:szCs w:val="24"/>
          <w:lang w:val="en-US"/>
        </w:rPr>
        <w:t xml:space="preserve"> fo</w:t>
      </w:r>
      <w:r w:rsidR="00A411D0" w:rsidRPr="0065408A">
        <w:rPr>
          <w:rFonts w:ascii="Arial" w:hAnsi="Arial" w:cs="Arial"/>
          <w:sz w:val="24"/>
          <w:szCs w:val="24"/>
          <w:lang w:val="en-US"/>
        </w:rPr>
        <w:t>r</w:t>
      </w:r>
      <w:r w:rsidR="00270B93" w:rsidRPr="0065408A">
        <w:rPr>
          <w:rFonts w:ascii="Arial" w:hAnsi="Arial" w:cs="Arial"/>
          <w:sz w:val="24"/>
          <w:szCs w:val="24"/>
          <w:lang w:val="en-US"/>
        </w:rPr>
        <w:t xml:space="preserve"> functional performance</w:t>
      </w:r>
      <w:r w:rsidR="00EB1018" w:rsidRPr="0065408A">
        <w:rPr>
          <w:rFonts w:ascii="Arial" w:hAnsi="Arial" w:cs="Arial"/>
          <w:sz w:val="24"/>
          <w:szCs w:val="24"/>
          <w:lang w:val="en-US"/>
        </w:rPr>
        <w:t xml:space="preserve"> (5,</w:t>
      </w:r>
      <w:r w:rsidR="00D714C2">
        <w:rPr>
          <w:rFonts w:ascii="Arial" w:hAnsi="Arial" w:cs="Arial"/>
          <w:sz w:val="24"/>
          <w:szCs w:val="24"/>
          <w:lang w:val="en-US"/>
        </w:rPr>
        <w:t>18</w:t>
      </w:r>
      <w:r w:rsidR="00EB1018" w:rsidRPr="0065408A">
        <w:rPr>
          <w:rFonts w:ascii="Arial" w:hAnsi="Arial" w:cs="Arial"/>
          <w:sz w:val="24"/>
          <w:szCs w:val="24"/>
          <w:lang w:val="en-US"/>
        </w:rPr>
        <w:t>,</w:t>
      </w:r>
      <w:r w:rsidR="0073314F" w:rsidRPr="0065408A">
        <w:rPr>
          <w:rFonts w:ascii="Arial" w:hAnsi="Arial" w:cs="Arial"/>
          <w:sz w:val="24"/>
          <w:szCs w:val="24"/>
          <w:lang w:val="en-US"/>
        </w:rPr>
        <w:t>2</w:t>
      </w:r>
      <w:r w:rsidR="00D714C2">
        <w:rPr>
          <w:rFonts w:ascii="Arial" w:hAnsi="Arial" w:cs="Arial"/>
          <w:sz w:val="24"/>
          <w:szCs w:val="24"/>
          <w:lang w:val="en-US"/>
        </w:rPr>
        <w:t>1</w:t>
      </w:r>
      <w:r w:rsidR="00EB1018" w:rsidRPr="0065408A">
        <w:rPr>
          <w:rFonts w:ascii="Arial" w:hAnsi="Arial" w:cs="Arial"/>
          <w:sz w:val="24"/>
          <w:szCs w:val="24"/>
          <w:lang w:val="en-US"/>
        </w:rPr>
        <w:t>)</w:t>
      </w:r>
      <w:r w:rsidR="0065592F" w:rsidRPr="0065408A">
        <w:rPr>
          <w:rFonts w:ascii="Arial" w:hAnsi="Arial" w:cs="Arial"/>
          <w:sz w:val="24"/>
          <w:szCs w:val="24"/>
          <w:lang w:val="en-US"/>
        </w:rPr>
        <w:t>,</w:t>
      </w:r>
      <w:r w:rsidR="00A37E11" w:rsidRPr="0065408A">
        <w:rPr>
          <w:rFonts w:ascii="Arial" w:hAnsi="Arial" w:cs="Arial"/>
          <w:sz w:val="24"/>
          <w:szCs w:val="24"/>
          <w:lang w:val="en-US"/>
        </w:rPr>
        <w:t xml:space="preserve"> </w:t>
      </w:r>
      <w:r w:rsidR="00A411D0" w:rsidRPr="0065408A">
        <w:rPr>
          <w:rFonts w:ascii="Arial" w:hAnsi="Arial" w:cs="Arial"/>
          <w:sz w:val="24"/>
          <w:szCs w:val="24"/>
          <w:lang w:val="en-US"/>
        </w:rPr>
        <w:t>our</w:t>
      </w:r>
      <w:r w:rsidR="00A37E11" w:rsidRPr="0065408A">
        <w:rPr>
          <w:rFonts w:ascii="Arial" w:hAnsi="Arial" w:cs="Arial"/>
          <w:sz w:val="24"/>
          <w:szCs w:val="24"/>
          <w:lang w:val="en-US"/>
        </w:rPr>
        <w:t xml:space="preserve"> findings suggest </w:t>
      </w:r>
      <w:r w:rsidR="00DB3054" w:rsidRPr="0065408A">
        <w:rPr>
          <w:rFonts w:ascii="Arial" w:hAnsi="Arial" w:cs="Arial"/>
          <w:sz w:val="24"/>
          <w:szCs w:val="24"/>
          <w:lang w:val="en-US"/>
        </w:rPr>
        <w:t>PBF</w:t>
      </w:r>
      <w:r w:rsidR="00A37E11" w:rsidRPr="0065408A">
        <w:rPr>
          <w:rFonts w:ascii="Arial" w:hAnsi="Arial" w:cs="Arial"/>
          <w:sz w:val="24"/>
          <w:szCs w:val="24"/>
          <w:lang w:val="en-US"/>
        </w:rPr>
        <w:t xml:space="preserve"> and FMI </w:t>
      </w:r>
      <w:r w:rsidR="00A411D0" w:rsidRPr="0065408A">
        <w:rPr>
          <w:rFonts w:ascii="Arial" w:hAnsi="Arial" w:cs="Arial"/>
          <w:sz w:val="24"/>
          <w:szCs w:val="24"/>
          <w:lang w:val="en-US"/>
        </w:rPr>
        <w:t>to be</w:t>
      </w:r>
      <w:r w:rsidR="00A37E11" w:rsidRPr="0065408A">
        <w:rPr>
          <w:rFonts w:ascii="Arial" w:hAnsi="Arial" w:cs="Arial"/>
          <w:sz w:val="24"/>
          <w:szCs w:val="24"/>
          <w:lang w:val="en-US"/>
        </w:rPr>
        <w:t xml:space="preserve"> the preferred </w:t>
      </w:r>
      <w:r w:rsidR="002C7C8A" w:rsidRPr="0065408A">
        <w:rPr>
          <w:rFonts w:ascii="Arial" w:hAnsi="Arial" w:cs="Arial"/>
          <w:sz w:val="24"/>
          <w:szCs w:val="24"/>
          <w:lang w:val="en-US"/>
        </w:rPr>
        <w:t xml:space="preserve">obesity measures </w:t>
      </w:r>
      <w:r w:rsidR="00A37E11" w:rsidRPr="0065408A">
        <w:rPr>
          <w:rFonts w:ascii="Arial" w:hAnsi="Arial" w:cs="Arial"/>
          <w:sz w:val="24"/>
          <w:szCs w:val="24"/>
          <w:lang w:val="en-US"/>
        </w:rPr>
        <w:t xml:space="preserve">for </w:t>
      </w:r>
      <w:r w:rsidR="002C7C8A" w:rsidRPr="0065408A">
        <w:rPr>
          <w:rFonts w:ascii="Arial" w:hAnsi="Arial" w:cs="Arial"/>
          <w:sz w:val="24"/>
          <w:szCs w:val="24"/>
          <w:lang w:val="en-US"/>
        </w:rPr>
        <w:t>defining SO</w:t>
      </w:r>
      <w:r w:rsidR="00A37E11" w:rsidRPr="0065408A">
        <w:rPr>
          <w:rFonts w:ascii="Arial" w:hAnsi="Arial" w:cs="Arial"/>
          <w:sz w:val="24"/>
          <w:szCs w:val="24"/>
          <w:lang w:val="en-US"/>
        </w:rPr>
        <w:t>.</w:t>
      </w:r>
      <w:r w:rsidR="000D4557">
        <w:rPr>
          <w:rFonts w:ascii="Arial" w:hAnsi="Arial" w:cs="Arial"/>
          <w:sz w:val="24"/>
          <w:szCs w:val="24"/>
          <w:lang w:val="en-US"/>
        </w:rPr>
        <w:t xml:space="preserve"> Furthermore, M</w:t>
      </w:r>
      <w:r w:rsidR="007F297C" w:rsidRPr="0065408A">
        <w:rPr>
          <w:rFonts w:ascii="Arial" w:hAnsi="Arial" w:cs="Arial"/>
          <w:sz w:val="24"/>
          <w:szCs w:val="24"/>
          <w:lang w:val="en-US"/>
        </w:rPr>
        <w:t>ultiple linear regression results</w:t>
      </w:r>
      <w:r w:rsidR="00A65D45" w:rsidRPr="0065408A">
        <w:rPr>
          <w:rFonts w:ascii="Arial" w:hAnsi="Arial" w:cs="Arial"/>
          <w:sz w:val="24"/>
          <w:szCs w:val="24"/>
          <w:lang w:val="en-US"/>
        </w:rPr>
        <w:t xml:space="preserve"> </w:t>
      </w:r>
      <w:r w:rsidR="00270B93" w:rsidRPr="0065408A">
        <w:rPr>
          <w:rFonts w:ascii="Arial" w:hAnsi="Arial" w:cs="Arial"/>
          <w:sz w:val="24"/>
          <w:szCs w:val="24"/>
          <w:lang w:val="en-US"/>
        </w:rPr>
        <w:t>for SPPB</w:t>
      </w:r>
      <w:r w:rsidR="007F297C" w:rsidRPr="0065408A">
        <w:rPr>
          <w:rFonts w:ascii="Arial" w:hAnsi="Arial" w:cs="Arial"/>
          <w:sz w:val="24"/>
          <w:szCs w:val="24"/>
          <w:lang w:val="en-US"/>
        </w:rPr>
        <w:t xml:space="preserve"> revealed that </w:t>
      </w:r>
      <w:r w:rsidR="000D4557" w:rsidRPr="0065408A">
        <w:rPr>
          <w:rFonts w:ascii="Arial" w:hAnsi="Arial" w:cs="Arial"/>
          <w:sz w:val="24"/>
          <w:szCs w:val="24"/>
          <w:lang w:val="en-US"/>
        </w:rPr>
        <w:t xml:space="preserve">only FMI-based and </w:t>
      </w:r>
      <w:r w:rsidR="000D4557">
        <w:rPr>
          <w:rFonts w:ascii="Arial" w:hAnsi="Arial" w:cs="Arial"/>
          <w:sz w:val="24"/>
          <w:szCs w:val="24"/>
          <w:lang w:val="en-US"/>
        </w:rPr>
        <w:t>PBF-based</w:t>
      </w:r>
      <w:r w:rsidR="000D4557" w:rsidRPr="0065408A">
        <w:rPr>
          <w:rFonts w:ascii="Arial" w:hAnsi="Arial" w:cs="Arial"/>
          <w:sz w:val="24"/>
          <w:szCs w:val="24"/>
          <w:lang w:val="en-US"/>
        </w:rPr>
        <w:t xml:space="preserve"> definitions of SO were significantly associated with poorer SPPB scores</w:t>
      </w:r>
      <w:r w:rsidR="000D4557">
        <w:rPr>
          <w:rFonts w:ascii="Arial" w:hAnsi="Arial" w:cs="Arial"/>
          <w:sz w:val="24"/>
          <w:szCs w:val="24"/>
          <w:lang w:val="en-US"/>
        </w:rPr>
        <w:t>,</w:t>
      </w:r>
      <w:r w:rsidR="000D4557" w:rsidRPr="0065408A">
        <w:rPr>
          <w:rFonts w:ascii="Arial" w:hAnsi="Arial" w:cs="Arial"/>
          <w:sz w:val="24"/>
          <w:szCs w:val="24"/>
          <w:lang w:val="en-US"/>
        </w:rPr>
        <w:t xml:space="preserve"> </w:t>
      </w:r>
      <w:r w:rsidR="000D4557">
        <w:rPr>
          <w:rFonts w:ascii="Arial" w:hAnsi="Arial" w:cs="Arial"/>
          <w:sz w:val="24"/>
          <w:szCs w:val="24"/>
          <w:lang w:val="en-US"/>
        </w:rPr>
        <w:t xml:space="preserve">and </w:t>
      </w:r>
      <w:r w:rsidR="007F297C" w:rsidRPr="0065408A">
        <w:rPr>
          <w:rFonts w:ascii="Arial" w:hAnsi="Arial" w:cs="Arial"/>
          <w:sz w:val="24"/>
          <w:szCs w:val="24"/>
          <w:lang w:val="en-US"/>
        </w:rPr>
        <w:t xml:space="preserve">the total variance explained by the different regression models was </w:t>
      </w:r>
      <w:r w:rsidR="00D129C8" w:rsidRPr="0065408A">
        <w:rPr>
          <w:rFonts w:ascii="Arial" w:hAnsi="Arial" w:cs="Arial"/>
          <w:sz w:val="24"/>
          <w:szCs w:val="24"/>
          <w:lang w:val="en-US"/>
        </w:rPr>
        <w:t>highest</w:t>
      </w:r>
      <w:r w:rsidR="007F297C" w:rsidRPr="0065408A">
        <w:rPr>
          <w:rFonts w:ascii="Arial" w:hAnsi="Arial" w:cs="Arial"/>
          <w:sz w:val="24"/>
          <w:szCs w:val="24"/>
          <w:lang w:val="en-US"/>
        </w:rPr>
        <w:t xml:space="preserve"> for the </w:t>
      </w:r>
      <w:r w:rsidR="000D4557">
        <w:rPr>
          <w:rFonts w:ascii="Arial" w:hAnsi="Arial" w:cs="Arial"/>
          <w:sz w:val="24"/>
          <w:szCs w:val="24"/>
          <w:lang w:val="en-US"/>
        </w:rPr>
        <w:t>FMI</w:t>
      </w:r>
      <w:r w:rsidR="007F297C" w:rsidRPr="0065408A">
        <w:rPr>
          <w:rFonts w:ascii="Arial" w:hAnsi="Arial" w:cs="Arial"/>
          <w:sz w:val="24"/>
          <w:szCs w:val="24"/>
          <w:lang w:val="en-US"/>
        </w:rPr>
        <w:t xml:space="preserve"> definition</w:t>
      </w:r>
      <w:r w:rsidR="00194609" w:rsidRPr="0065408A">
        <w:rPr>
          <w:rFonts w:ascii="Arial" w:hAnsi="Arial" w:cs="Arial"/>
          <w:sz w:val="24"/>
          <w:szCs w:val="24"/>
          <w:lang w:val="en-US"/>
        </w:rPr>
        <w:t>,</w:t>
      </w:r>
      <w:r w:rsidR="00774485" w:rsidRPr="0065408A">
        <w:rPr>
          <w:rFonts w:ascii="Arial" w:hAnsi="Arial" w:cs="Arial"/>
          <w:sz w:val="24"/>
          <w:szCs w:val="24"/>
          <w:lang w:val="en-US"/>
        </w:rPr>
        <w:t xml:space="preserve"> </w:t>
      </w:r>
      <w:r w:rsidR="000D4557">
        <w:rPr>
          <w:rFonts w:ascii="Arial" w:hAnsi="Arial" w:cs="Arial"/>
          <w:sz w:val="24"/>
          <w:szCs w:val="24"/>
          <w:lang w:val="en-US"/>
        </w:rPr>
        <w:t xml:space="preserve">followed by PBF, and then WC and FM/FFM, </w:t>
      </w:r>
      <w:r w:rsidR="00A65D45" w:rsidRPr="0065408A">
        <w:rPr>
          <w:rFonts w:ascii="Arial" w:hAnsi="Arial" w:cs="Arial"/>
          <w:sz w:val="24"/>
          <w:szCs w:val="24"/>
          <w:lang w:val="en-US"/>
        </w:rPr>
        <w:t>suggesting FMI</w:t>
      </w:r>
      <w:r w:rsidR="000D4557">
        <w:rPr>
          <w:rFonts w:ascii="Arial" w:hAnsi="Arial" w:cs="Arial"/>
          <w:sz w:val="24"/>
          <w:szCs w:val="24"/>
          <w:lang w:val="en-US"/>
        </w:rPr>
        <w:t xml:space="preserve"> to be the most preferred obesity measure followed by PBF</w:t>
      </w:r>
      <w:r w:rsidR="002C7C8A" w:rsidRPr="0065408A">
        <w:rPr>
          <w:rFonts w:ascii="Arial" w:hAnsi="Arial" w:cs="Arial"/>
          <w:sz w:val="24"/>
          <w:szCs w:val="24"/>
          <w:lang w:val="en-US"/>
        </w:rPr>
        <w:t>.</w:t>
      </w:r>
      <w:r w:rsidR="00A65D45" w:rsidRPr="0065408A">
        <w:rPr>
          <w:rFonts w:ascii="Arial" w:hAnsi="Arial" w:cs="Arial"/>
          <w:sz w:val="24"/>
          <w:szCs w:val="24"/>
          <w:lang w:val="en-US"/>
        </w:rPr>
        <w:t xml:space="preserve"> </w:t>
      </w:r>
    </w:p>
    <w:p w14:paraId="57204EFE" w14:textId="77777777" w:rsidR="00956D9E" w:rsidRPr="0065408A" w:rsidRDefault="00956D9E" w:rsidP="00830047">
      <w:pPr>
        <w:spacing w:after="0" w:line="480" w:lineRule="auto"/>
        <w:rPr>
          <w:rFonts w:ascii="Arial" w:hAnsi="Arial" w:cs="Arial"/>
          <w:sz w:val="24"/>
          <w:szCs w:val="24"/>
          <w:lang w:val="en-US"/>
        </w:rPr>
      </w:pPr>
    </w:p>
    <w:p w14:paraId="0D834151" w14:textId="49056190" w:rsidR="00956D9E" w:rsidRPr="0065408A" w:rsidRDefault="00956D9E"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On the whole, our results indicate that FMI is the most preferred </w:t>
      </w:r>
      <w:r w:rsidR="002C7C8A" w:rsidRPr="0065408A">
        <w:rPr>
          <w:rFonts w:ascii="Arial" w:hAnsi="Arial" w:cs="Arial"/>
          <w:sz w:val="24"/>
          <w:szCs w:val="24"/>
          <w:lang w:val="en-US"/>
        </w:rPr>
        <w:t>measure</w:t>
      </w:r>
      <w:r w:rsidRPr="0065408A">
        <w:rPr>
          <w:rFonts w:ascii="Arial" w:hAnsi="Arial" w:cs="Arial"/>
          <w:sz w:val="24"/>
          <w:szCs w:val="24"/>
          <w:lang w:val="en-US"/>
        </w:rPr>
        <w:t xml:space="preserve"> of obesity </w:t>
      </w:r>
      <w:r w:rsidR="002C7C8A" w:rsidRPr="0065408A">
        <w:rPr>
          <w:rFonts w:ascii="Arial" w:hAnsi="Arial" w:cs="Arial"/>
          <w:sz w:val="24"/>
          <w:szCs w:val="24"/>
          <w:lang w:val="en-US"/>
        </w:rPr>
        <w:t xml:space="preserve">for defining </w:t>
      </w:r>
      <w:r w:rsidRPr="0065408A">
        <w:rPr>
          <w:rFonts w:ascii="Arial" w:hAnsi="Arial" w:cs="Arial"/>
          <w:sz w:val="24"/>
          <w:szCs w:val="24"/>
          <w:lang w:val="en-US"/>
        </w:rPr>
        <w:t xml:space="preserve">SO. </w:t>
      </w:r>
      <w:r w:rsidR="00DB3054" w:rsidRPr="0065408A">
        <w:rPr>
          <w:rFonts w:ascii="Arial" w:hAnsi="Arial" w:cs="Arial"/>
          <w:sz w:val="24"/>
          <w:szCs w:val="24"/>
          <w:lang w:val="en-US"/>
        </w:rPr>
        <w:t>PBF</w:t>
      </w:r>
      <w:r w:rsidRPr="0065408A">
        <w:rPr>
          <w:rFonts w:ascii="Arial" w:hAnsi="Arial" w:cs="Arial"/>
          <w:sz w:val="24"/>
          <w:szCs w:val="24"/>
          <w:lang w:val="en-US"/>
        </w:rPr>
        <w:t xml:space="preserve"> gives an objective indication of total body fat, but does not</w:t>
      </w:r>
      <w:r w:rsidR="007851B2" w:rsidRPr="0065408A">
        <w:rPr>
          <w:rFonts w:ascii="Arial" w:hAnsi="Arial" w:cs="Arial"/>
          <w:sz w:val="24"/>
          <w:szCs w:val="24"/>
          <w:lang w:val="en-US"/>
        </w:rPr>
        <w:t xml:space="preserve"> </w:t>
      </w:r>
      <w:r w:rsidRPr="0065408A">
        <w:rPr>
          <w:rFonts w:ascii="Arial" w:hAnsi="Arial" w:cs="Arial"/>
          <w:sz w:val="24"/>
          <w:szCs w:val="24"/>
          <w:lang w:val="en-US"/>
        </w:rPr>
        <w:t>discern between visceral and subcutaneous fat</w:t>
      </w:r>
      <w:r w:rsidR="00EB1018" w:rsidRPr="0065408A">
        <w:rPr>
          <w:rFonts w:ascii="Arial" w:hAnsi="Arial" w:cs="Arial"/>
          <w:sz w:val="24"/>
          <w:szCs w:val="24"/>
          <w:lang w:val="en-US"/>
        </w:rPr>
        <w:t xml:space="preserve"> (5)</w:t>
      </w:r>
      <w:r w:rsidRPr="0065408A">
        <w:rPr>
          <w:rFonts w:ascii="Arial" w:hAnsi="Arial" w:cs="Arial"/>
          <w:sz w:val="24"/>
          <w:szCs w:val="24"/>
          <w:lang w:val="en-US"/>
        </w:rPr>
        <w:t xml:space="preserve">. </w:t>
      </w:r>
      <w:r w:rsidR="00D169B2" w:rsidRPr="0065408A">
        <w:rPr>
          <w:rFonts w:ascii="Arial" w:hAnsi="Arial" w:cs="Arial"/>
          <w:sz w:val="24"/>
          <w:szCs w:val="24"/>
          <w:lang w:val="en-US"/>
        </w:rPr>
        <w:t>While</w:t>
      </w:r>
      <w:r w:rsidRPr="0065408A">
        <w:rPr>
          <w:rFonts w:ascii="Arial" w:hAnsi="Arial" w:cs="Arial"/>
          <w:sz w:val="24"/>
          <w:szCs w:val="24"/>
          <w:lang w:val="en-US"/>
        </w:rPr>
        <w:t xml:space="preserve"> WC provides an estimate of visceral adiposity which is associated with higher morbidity than its subcutaneous counterpart</w:t>
      </w:r>
      <w:r w:rsidR="00EB1018" w:rsidRPr="0065408A">
        <w:rPr>
          <w:rFonts w:ascii="Arial" w:hAnsi="Arial" w:cs="Arial"/>
          <w:sz w:val="24"/>
          <w:szCs w:val="24"/>
          <w:lang w:val="en-US"/>
        </w:rPr>
        <w:t xml:space="preserve"> (2</w:t>
      </w:r>
      <w:r w:rsidR="00D714C2">
        <w:rPr>
          <w:rFonts w:ascii="Arial" w:hAnsi="Arial" w:cs="Arial"/>
          <w:sz w:val="24"/>
          <w:szCs w:val="24"/>
          <w:lang w:val="en-US"/>
        </w:rPr>
        <w:t>2</w:t>
      </w:r>
      <w:r w:rsidR="00EB1018" w:rsidRPr="0065408A">
        <w:rPr>
          <w:rFonts w:ascii="Arial" w:hAnsi="Arial" w:cs="Arial"/>
          <w:sz w:val="24"/>
          <w:szCs w:val="24"/>
          <w:lang w:val="en-US"/>
        </w:rPr>
        <w:t>),</w:t>
      </w:r>
      <w:r w:rsidRPr="0065408A">
        <w:rPr>
          <w:rFonts w:ascii="Arial" w:hAnsi="Arial" w:cs="Arial"/>
          <w:sz w:val="24"/>
          <w:szCs w:val="24"/>
          <w:lang w:val="en-US"/>
        </w:rPr>
        <w:t xml:space="preserve"> </w:t>
      </w:r>
      <w:r w:rsidR="00D169B2" w:rsidRPr="0065408A">
        <w:rPr>
          <w:rFonts w:ascii="Arial" w:hAnsi="Arial" w:cs="Arial"/>
          <w:sz w:val="24"/>
          <w:szCs w:val="24"/>
          <w:lang w:val="en-US"/>
        </w:rPr>
        <w:t xml:space="preserve">it is not </w:t>
      </w:r>
      <w:r w:rsidR="0065592F" w:rsidRPr="0065408A">
        <w:rPr>
          <w:rFonts w:ascii="Arial" w:hAnsi="Arial" w:cs="Arial"/>
          <w:sz w:val="24"/>
          <w:szCs w:val="24"/>
          <w:lang w:val="en-US"/>
        </w:rPr>
        <w:t>adjusted for</w:t>
      </w:r>
      <w:r w:rsidRPr="0065408A">
        <w:rPr>
          <w:rFonts w:ascii="Arial" w:hAnsi="Arial" w:cs="Arial"/>
          <w:sz w:val="24"/>
          <w:szCs w:val="24"/>
          <w:lang w:val="en-US"/>
        </w:rPr>
        <w:t xml:space="preserve"> height and </w:t>
      </w:r>
      <w:r w:rsidR="0065592F" w:rsidRPr="0065408A">
        <w:rPr>
          <w:rFonts w:ascii="Arial" w:hAnsi="Arial" w:cs="Arial"/>
          <w:sz w:val="24"/>
          <w:szCs w:val="24"/>
          <w:lang w:val="en-US"/>
        </w:rPr>
        <w:t>is</w:t>
      </w:r>
      <w:r w:rsidRPr="0065408A">
        <w:rPr>
          <w:rFonts w:ascii="Arial" w:hAnsi="Arial" w:cs="Arial"/>
          <w:sz w:val="24"/>
          <w:szCs w:val="24"/>
          <w:lang w:val="en-US"/>
        </w:rPr>
        <w:t xml:space="preserve"> thus insensitive to body size</w:t>
      </w:r>
      <w:r w:rsidR="00EB1018" w:rsidRPr="0065408A">
        <w:rPr>
          <w:rFonts w:ascii="Arial" w:hAnsi="Arial" w:cs="Arial"/>
          <w:sz w:val="24"/>
          <w:szCs w:val="24"/>
          <w:lang w:val="en-US"/>
        </w:rPr>
        <w:t xml:space="preserve"> (5-7).</w:t>
      </w:r>
      <w:r w:rsidRPr="0065408A">
        <w:rPr>
          <w:rFonts w:ascii="Arial" w:hAnsi="Arial" w:cs="Arial"/>
          <w:sz w:val="24"/>
          <w:szCs w:val="24"/>
          <w:lang w:val="en-US"/>
        </w:rPr>
        <w:t xml:space="preserve"> In corroboration with the literature, fat mass was previously reported to be the most frequently used adiposity index for the classification of SO, and its adjustment </w:t>
      </w:r>
      <w:r w:rsidRPr="0065408A">
        <w:rPr>
          <w:rFonts w:ascii="Arial" w:hAnsi="Arial" w:cs="Arial"/>
          <w:sz w:val="24"/>
          <w:szCs w:val="24"/>
          <w:lang w:val="en-US"/>
        </w:rPr>
        <w:lastRenderedPageBreak/>
        <w:t xml:space="preserve">to height squared (FMI) has been the preferred method to account for differences in body size across age and between </w:t>
      </w:r>
      <w:r w:rsidR="00486455">
        <w:rPr>
          <w:rFonts w:ascii="Arial" w:hAnsi="Arial" w:cs="Arial"/>
          <w:sz w:val="24"/>
          <w:szCs w:val="24"/>
          <w:lang w:val="en-US"/>
        </w:rPr>
        <w:t>the sexes</w:t>
      </w:r>
      <w:r w:rsidR="00EB1018" w:rsidRPr="0065408A">
        <w:rPr>
          <w:rFonts w:ascii="Arial" w:hAnsi="Arial" w:cs="Arial"/>
          <w:sz w:val="24"/>
          <w:szCs w:val="24"/>
          <w:lang w:val="en-US"/>
        </w:rPr>
        <w:t xml:space="preserve"> (6).</w:t>
      </w:r>
      <w:r w:rsidRPr="0065408A">
        <w:rPr>
          <w:rFonts w:ascii="Arial" w:hAnsi="Arial" w:cs="Arial"/>
          <w:sz w:val="24"/>
          <w:szCs w:val="24"/>
          <w:lang w:val="en-US"/>
        </w:rPr>
        <w:t xml:space="preserve"> In terms of physical performance, FMI is also considered an accurate indicator of total body adiposity that could improve the predictive value of SO in functional deterioration</w:t>
      </w:r>
      <w:r w:rsidR="00EB1018" w:rsidRPr="0065408A">
        <w:rPr>
          <w:rFonts w:ascii="Arial" w:hAnsi="Arial" w:cs="Arial"/>
          <w:sz w:val="24"/>
          <w:szCs w:val="24"/>
          <w:lang w:val="en-US"/>
        </w:rPr>
        <w:t xml:space="preserve"> (6,7).</w:t>
      </w:r>
      <w:r w:rsidRPr="0065408A">
        <w:rPr>
          <w:rFonts w:ascii="Arial" w:hAnsi="Arial" w:cs="Arial"/>
          <w:sz w:val="24"/>
          <w:szCs w:val="24"/>
          <w:lang w:val="en-US"/>
        </w:rPr>
        <w:t xml:space="preserve"> In addition, FMI was found to be a better screening tool in the prediction of metabolic syndrome in Chinese men and women</w:t>
      </w:r>
      <w:r w:rsidR="00EB1018" w:rsidRPr="0065408A">
        <w:rPr>
          <w:rFonts w:ascii="Arial" w:hAnsi="Arial" w:cs="Arial"/>
          <w:sz w:val="24"/>
          <w:szCs w:val="24"/>
          <w:lang w:val="en-US"/>
        </w:rPr>
        <w:t xml:space="preserve"> (2</w:t>
      </w:r>
      <w:r w:rsidR="00D714C2">
        <w:rPr>
          <w:rFonts w:ascii="Arial" w:hAnsi="Arial" w:cs="Arial"/>
          <w:sz w:val="24"/>
          <w:szCs w:val="24"/>
          <w:lang w:val="en-US"/>
        </w:rPr>
        <w:t>3</w:t>
      </w:r>
      <w:r w:rsidR="00EB1018" w:rsidRPr="0065408A">
        <w:rPr>
          <w:rFonts w:ascii="Arial" w:hAnsi="Arial" w:cs="Arial"/>
          <w:sz w:val="24"/>
          <w:szCs w:val="24"/>
          <w:lang w:val="en-US"/>
        </w:rPr>
        <w:t>)</w:t>
      </w:r>
      <w:r w:rsidRPr="0065408A">
        <w:rPr>
          <w:rFonts w:ascii="Arial" w:hAnsi="Arial" w:cs="Arial"/>
          <w:sz w:val="24"/>
          <w:szCs w:val="24"/>
          <w:lang w:val="en-US"/>
        </w:rPr>
        <w:t xml:space="preserve"> and more accurately assessed obesity in Mexican Americans</w:t>
      </w:r>
      <w:r w:rsidR="00EB1018" w:rsidRPr="0065408A">
        <w:rPr>
          <w:rFonts w:ascii="Arial" w:hAnsi="Arial" w:cs="Arial"/>
          <w:sz w:val="24"/>
          <w:szCs w:val="24"/>
          <w:lang w:val="en-US"/>
        </w:rPr>
        <w:t xml:space="preserve"> (2</w:t>
      </w:r>
      <w:r w:rsidR="00D714C2">
        <w:rPr>
          <w:rFonts w:ascii="Arial" w:hAnsi="Arial" w:cs="Arial"/>
          <w:sz w:val="24"/>
          <w:szCs w:val="24"/>
          <w:lang w:val="en-US"/>
        </w:rPr>
        <w:t>4</w:t>
      </w:r>
      <w:r w:rsidR="00EB1018" w:rsidRPr="0065408A">
        <w:rPr>
          <w:rFonts w:ascii="Arial" w:hAnsi="Arial" w:cs="Arial"/>
          <w:sz w:val="24"/>
          <w:szCs w:val="24"/>
          <w:lang w:val="en-US"/>
        </w:rPr>
        <w:t>)</w:t>
      </w:r>
      <w:r w:rsidRPr="0065408A">
        <w:rPr>
          <w:rFonts w:ascii="Arial" w:hAnsi="Arial" w:cs="Arial"/>
          <w:sz w:val="24"/>
          <w:szCs w:val="24"/>
          <w:lang w:val="en-US"/>
        </w:rPr>
        <w:t xml:space="preserve"> compared to BMI or </w:t>
      </w:r>
      <w:r w:rsidR="00DB3054" w:rsidRPr="0065408A">
        <w:rPr>
          <w:rFonts w:ascii="Arial" w:hAnsi="Arial" w:cs="Arial"/>
          <w:sz w:val="24"/>
          <w:szCs w:val="24"/>
          <w:lang w:val="en-US"/>
        </w:rPr>
        <w:t>PBF</w:t>
      </w:r>
      <w:r w:rsidRPr="0065408A">
        <w:rPr>
          <w:rFonts w:ascii="Arial" w:hAnsi="Arial" w:cs="Arial"/>
          <w:sz w:val="24"/>
          <w:szCs w:val="24"/>
          <w:lang w:val="en-US"/>
        </w:rPr>
        <w:t>.</w:t>
      </w:r>
    </w:p>
    <w:p w14:paraId="7F6D6822" w14:textId="77777777" w:rsidR="00956D9E" w:rsidRPr="0065408A" w:rsidRDefault="00956D9E" w:rsidP="00830047">
      <w:pPr>
        <w:spacing w:after="0" w:line="480" w:lineRule="auto"/>
        <w:rPr>
          <w:rFonts w:ascii="Arial" w:hAnsi="Arial" w:cs="Arial"/>
          <w:sz w:val="24"/>
          <w:szCs w:val="24"/>
          <w:lang w:val="en-US"/>
        </w:rPr>
      </w:pPr>
    </w:p>
    <w:p w14:paraId="0939E0A7" w14:textId="14238750" w:rsidR="007F297C" w:rsidRPr="0065408A" w:rsidRDefault="000D4557" w:rsidP="00830047">
      <w:pPr>
        <w:spacing w:after="0" w:line="480" w:lineRule="auto"/>
        <w:rPr>
          <w:rFonts w:ascii="Arial" w:hAnsi="Arial" w:cs="Arial"/>
          <w:sz w:val="24"/>
          <w:szCs w:val="24"/>
          <w:lang w:val="en-US"/>
        </w:rPr>
      </w:pPr>
      <w:r>
        <w:rPr>
          <w:rFonts w:ascii="Arial" w:hAnsi="Arial" w:cs="Arial"/>
          <w:sz w:val="24"/>
          <w:szCs w:val="24"/>
          <w:lang w:val="en-US"/>
        </w:rPr>
        <w:t>T</w:t>
      </w:r>
      <w:r w:rsidR="00A65D45" w:rsidRPr="0065408A">
        <w:rPr>
          <w:rFonts w:ascii="Arial" w:hAnsi="Arial" w:cs="Arial"/>
          <w:sz w:val="24"/>
          <w:szCs w:val="24"/>
          <w:lang w:val="en-US"/>
        </w:rPr>
        <w:t xml:space="preserve">he FM/FFM definition </w:t>
      </w:r>
      <w:r>
        <w:rPr>
          <w:rFonts w:ascii="Arial" w:hAnsi="Arial" w:cs="Arial"/>
          <w:sz w:val="24"/>
          <w:szCs w:val="24"/>
          <w:lang w:val="en-US"/>
        </w:rPr>
        <w:t>did not identify any m</w:t>
      </w:r>
      <w:r w:rsidR="005B7710">
        <w:rPr>
          <w:rFonts w:ascii="Arial" w:hAnsi="Arial" w:cs="Arial"/>
          <w:sz w:val="24"/>
          <w:szCs w:val="24"/>
          <w:lang w:val="en-US"/>
        </w:rPr>
        <w:t>en</w:t>
      </w:r>
      <w:r>
        <w:rPr>
          <w:rFonts w:ascii="Arial" w:hAnsi="Arial" w:cs="Arial"/>
          <w:sz w:val="24"/>
          <w:szCs w:val="24"/>
          <w:lang w:val="en-US"/>
        </w:rPr>
        <w:t xml:space="preserve"> with SO. This is s</w:t>
      </w:r>
      <w:r w:rsidRPr="0065408A">
        <w:rPr>
          <w:rFonts w:ascii="Arial" w:hAnsi="Arial" w:cs="Arial"/>
          <w:sz w:val="24"/>
          <w:szCs w:val="24"/>
          <w:lang w:val="en-US"/>
        </w:rPr>
        <w:t>imilar to the findings of previous studies,</w:t>
      </w:r>
      <w:r>
        <w:rPr>
          <w:rFonts w:ascii="Arial" w:hAnsi="Arial" w:cs="Arial"/>
          <w:sz w:val="24"/>
          <w:szCs w:val="24"/>
          <w:lang w:val="en-US"/>
        </w:rPr>
        <w:t xml:space="preserve"> where using the FM/FFM definition </w:t>
      </w:r>
      <w:r w:rsidR="00A65D45" w:rsidRPr="0065408A">
        <w:rPr>
          <w:rFonts w:ascii="Arial" w:hAnsi="Arial" w:cs="Arial"/>
          <w:sz w:val="24"/>
          <w:szCs w:val="24"/>
          <w:lang w:val="en-US"/>
        </w:rPr>
        <w:t>led to markedly disproportionate low number</w:t>
      </w:r>
      <w:r>
        <w:rPr>
          <w:rFonts w:ascii="Arial" w:hAnsi="Arial" w:cs="Arial"/>
          <w:sz w:val="24"/>
          <w:szCs w:val="24"/>
          <w:lang w:val="en-US"/>
        </w:rPr>
        <w:t>s</w:t>
      </w:r>
      <w:r w:rsidR="00A65D45" w:rsidRPr="0065408A">
        <w:rPr>
          <w:rFonts w:ascii="Arial" w:hAnsi="Arial" w:cs="Arial"/>
          <w:sz w:val="24"/>
          <w:szCs w:val="24"/>
          <w:lang w:val="en-US"/>
        </w:rPr>
        <w:t xml:space="preserve"> of m</w:t>
      </w:r>
      <w:r w:rsidR="005B7710">
        <w:rPr>
          <w:rFonts w:ascii="Arial" w:hAnsi="Arial" w:cs="Arial"/>
          <w:sz w:val="24"/>
          <w:szCs w:val="24"/>
          <w:lang w:val="en-US"/>
        </w:rPr>
        <w:t>en</w:t>
      </w:r>
      <w:r w:rsidR="00A65D45" w:rsidRPr="0065408A">
        <w:rPr>
          <w:rFonts w:ascii="Arial" w:hAnsi="Arial" w:cs="Arial"/>
          <w:sz w:val="24"/>
          <w:szCs w:val="24"/>
          <w:lang w:val="en-US"/>
        </w:rPr>
        <w:t xml:space="preserve"> identified with SO</w:t>
      </w:r>
      <w:r w:rsidR="00EB1018" w:rsidRPr="0065408A">
        <w:rPr>
          <w:rFonts w:ascii="Arial" w:hAnsi="Arial" w:cs="Arial"/>
          <w:sz w:val="24"/>
          <w:szCs w:val="24"/>
          <w:lang w:val="en-US"/>
        </w:rPr>
        <w:t xml:space="preserve"> (6,7,</w:t>
      </w:r>
      <w:r w:rsidR="00D714C2">
        <w:rPr>
          <w:rFonts w:ascii="Arial" w:hAnsi="Arial" w:cs="Arial"/>
          <w:sz w:val="24"/>
          <w:szCs w:val="24"/>
          <w:lang w:val="en-US"/>
        </w:rPr>
        <w:t>25</w:t>
      </w:r>
      <w:r w:rsidR="00EB1018" w:rsidRPr="0065408A">
        <w:rPr>
          <w:rFonts w:ascii="Arial" w:hAnsi="Arial" w:cs="Arial"/>
          <w:sz w:val="24"/>
          <w:szCs w:val="24"/>
          <w:lang w:val="en-US"/>
        </w:rPr>
        <w:t>)</w:t>
      </w:r>
      <w:r w:rsidR="00A65D45" w:rsidRPr="0065408A">
        <w:rPr>
          <w:rFonts w:ascii="Arial" w:hAnsi="Arial" w:cs="Arial"/>
          <w:sz w:val="24"/>
          <w:szCs w:val="24"/>
          <w:lang w:val="en-US"/>
        </w:rPr>
        <w:t xml:space="preserve">. </w:t>
      </w:r>
      <w:r w:rsidR="00A37E11" w:rsidRPr="0065408A">
        <w:rPr>
          <w:rFonts w:ascii="Arial" w:hAnsi="Arial" w:cs="Arial"/>
          <w:sz w:val="24"/>
          <w:szCs w:val="24"/>
          <w:lang w:val="en-US"/>
        </w:rPr>
        <w:t>W</w:t>
      </w:r>
      <w:r w:rsidR="00A65D45" w:rsidRPr="0065408A">
        <w:rPr>
          <w:rFonts w:ascii="Arial" w:hAnsi="Arial" w:cs="Arial"/>
          <w:sz w:val="24"/>
          <w:szCs w:val="24"/>
          <w:lang w:val="en-US"/>
        </w:rPr>
        <w:t>omen inherently have much higher relative fat mass than men</w:t>
      </w:r>
      <w:r w:rsidR="00EB1018" w:rsidRPr="0065408A">
        <w:rPr>
          <w:rFonts w:ascii="Arial" w:hAnsi="Arial" w:cs="Arial"/>
          <w:sz w:val="24"/>
          <w:szCs w:val="24"/>
          <w:lang w:val="en-US"/>
        </w:rPr>
        <w:t xml:space="preserve"> (</w:t>
      </w:r>
      <w:r w:rsidR="00D714C2">
        <w:rPr>
          <w:rFonts w:ascii="Arial" w:hAnsi="Arial" w:cs="Arial"/>
          <w:sz w:val="24"/>
          <w:szCs w:val="24"/>
          <w:lang w:val="en-US"/>
        </w:rPr>
        <w:t>26</w:t>
      </w:r>
      <w:r w:rsidR="00EB1018" w:rsidRPr="0065408A">
        <w:rPr>
          <w:rFonts w:ascii="Arial" w:hAnsi="Arial" w:cs="Arial"/>
          <w:sz w:val="24"/>
          <w:szCs w:val="24"/>
          <w:lang w:val="en-US"/>
        </w:rPr>
        <w:t>),</w:t>
      </w:r>
      <w:r w:rsidR="00A37E11" w:rsidRPr="0065408A">
        <w:rPr>
          <w:rFonts w:ascii="Arial" w:hAnsi="Arial" w:cs="Arial"/>
          <w:sz w:val="24"/>
          <w:szCs w:val="24"/>
          <w:lang w:val="en-US"/>
        </w:rPr>
        <w:t xml:space="preserve"> and c</w:t>
      </w:r>
      <w:r w:rsidR="00A65D45" w:rsidRPr="0065408A">
        <w:rPr>
          <w:rFonts w:ascii="Arial" w:hAnsi="Arial" w:cs="Arial"/>
          <w:sz w:val="24"/>
          <w:szCs w:val="24"/>
          <w:lang w:val="en-US"/>
        </w:rPr>
        <w:t>onversely, men have higher relative fat-free mass (total body water, muscle and bone mass) than women</w:t>
      </w:r>
      <w:r w:rsidR="00D32E14" w:rsidRPr="0065408A">
        <w:rPr>
          <w:rFonts w:ascii="Arial" w:hAnsi="Arial" w:cs="Arial"/>
          <w:sz w:val="24"/>
          <w:szCs w:val="24"/>
          <w:lang w:val="en-US"/>
        </w:rPr>
        <w:t xml:space="preserve"> at all ages</w:t>
      </w:r>
      <w:r w:rsidR="00EB1018" w:rsidRPr="0065408A">
        <w:rPr>
          <w:rFonts w:ascii="Arial" w:hAnsi="Arial" w:cs="Arial"/>
          <w:sz w:val="24"/>
          <w:szCs w:val="24"/>
          <w:lang w:val="en-US"/>
        </w:rPr>
        <w:t xml:space="preserve"> (</w:t>
      </w:r>
      <w:r w:rsidR="00D714C2">
        <w:rPr>
          <w:rFonts w:ascii="Arial" w:hAnsi="Arial" w:cs="Arial"/>
          <w:sz w:val="24"/>
          <w:szCs w:val="24"/>
          <w:lang w:val="en-US"/>
        </w:rPr>
        <w:t>26</w:t>
      </w:r>
      <w:r w:rsidR="00EB1018" w:rsidRPr="0065408A">
        <w:rPr>
          <w:rFonts w:ascii="Arial" w:hAnsi="Arial" w:cs="Arial"/>
          <w:sz w:val="24"/>
          <w:szCs w:val="24"/>
          <w:lang w:val="en-US"/>
        </w:rPr>
        <w:t>,</w:t>
      </w:r>
      <w:r w:rsidR="00D714C2">
        <w:rPr>
          <w:rFonts w:ascii="Arial" w:hAnsi="Arial" w:cs="Arial"/>
          <w:sz w:val="24"/>
          <w:szCs w:val="24"/>
          <w:lang w:val="en-US"/>
        </w:rPr>
        <w:t>27</w:t>
      </w:r>
      <w:r w:rsidR="00EB1018" w:rsidRPr="0065408A">
        <w:rPr>
          <w:rFonts w:ascii="Arial" w:hAnsi="Arial" w:cs="Arial"/>
          <w:sz w:val="24"/>
          <w:szCs w:val="24"/>
          <w:lang w:val="en-US"/>
        </w:rPr>
        <w:t>).</w:t>
      </w:r>
      <w:r w:rsidR="00A37E11" w:rsidRPr="0065408A">
        <w:rPr>
          <w:rFonts w:ascii="Arial" w:hAnsi="Arial" w:cs="Arial"/>
          <w:sz w:val="24"/>
          <w:szCs w:val="24"/>
          <w:lang w:val="en-US"/>
        </w:rPr>
        <w:t xml:space="preserve"> </w:t>
      </w:r>
      <w:r w:rsidR="00D32E14" w:rsidRPr="0065408A">
        <w:rPr>
          <w:rFonts w:ascii="Arial" w:hAnsi="Arial" w:cs="Arial"/>
          <w:sz w:val="24"/>
          <w:szCs w:val="24"/>
          <w:lang w:val="en-US"/>
        </w:rPr>
        <w:t xml:space="preserve">This is primarily due to </w:t>
      </w:r>
      <w:r w:rsidR="003E09CF" w:rsidRPr="0065408A">
        <w:rPr>
          <w:rFonts w:ascii="Arial" w:hAnsi="Arial" w:cs="Arial"/>
          <w:sz w:val="24"/>
          <w:szCs w:val="24"/>
          <w:lang w:val="en-US"/>
        </w:rPr>
        <w:t xml:space="preserve">the </w:t>
      </w:r>
      <w:r w:rsidR="00D32E14" w:rsidRPr="0065408A">
        <w:rPr>
          <w:rFonts w:ascii="Arial" w:hAnsi="Arial" w:cs="Arial"/>
          <w:sz w:val="24"/>
          <w:szCs w:val="24"/>
          <w:lang w:val="en-US"/>
        </w:rPr>
        <w:t>hormonal differences between men and women; men have higher testosterone levels</w:t>
      </w:r>
      <w:r w:rsidR="003E09CF" w:rsidRPr="0065408A">
        <w:rPr>
          <w:rFonts w:ascii="Arial" w:hAnsi="Arial" w:cs="Arial"/>
          <w:sz w:val="24"/>
          <w:szCs w:val="24"/>
          <w:lang w:val="en-US"/>
        </w:rPr>
        <w:t xml:space="preserve"> </w:t>
      </w:r>
      <w:r w:rsidR="00D32E14" w:rsidRPr="0065408A">
        <w:rPr>
          <w:rFonts w:ascii="Arial" w:hAnsi="Arial" w:cs="Arial"/>
          <w:sz w:val="24"/>
          <w:szCs w:val="24"/>
          <w:lang w:val="en-US"/>
        </w:rPr>
        <w:t xml:space="preserve">which </w:t>
      </w:r>
      <w:r w:rsidR="003E09CF" w:rsidRPr="0065408A">
        <w:rPr>
          <w:rFonts w:ascii="Arial" w:hAnsi="Arial" w:cs="Arial"/>
          <w:sz w:val="24"/>
          <w:szCs w:val="24"/>
          <w:lang w:val="en-US"/>
        </w:rPr>
        <w:t>exhibit</w:t>
      </w:r>
      <w:r w:rsidR="004A4FA0" w:rsidRPr="0065408A">
        <w:rPr>
          <w:rFonts w:ascii="Arial" w:hAnsi="Arial" w:cs="Arial"/>
          <w:sz w:val="24"/>
          <w:szCs w:val="24"/>
          <w:lang w:val="en-US"/>
        </w:rPr>
        <w:t xml:space="preserve">s </w:t>
      </w:r>
      <w:r w:rsidR="00D32E14" w:rsidRPr="0065408A">
        <w:rPr>
          <w:rFonts w:ascii="Arial" w:hAnsi="Arial" w:cs="Arial"/>
          <w:sz w:val="24"/>
          <w:szCs w:val="24"/>
          <w:lang w:val="en-US"/>
        </w:rPr>
        <w:t>anabolic effects on muscle and bone</w:t>
      </w:r>
      <w:r w:rsidR="00EB1018" w:rsidRPr="0065408A">
        <w:rPr>
          <w:rFonts w:ascii="Arial" w:hAnsi="Arial" w:cs="Arial"/>
          <w:sz w:val="24"/>
          <w:szCs w:val="24"/>
          <w:lang w:val="en-US"/>
        </w:rPr>
        <w:t xml:space="preserve"> (</w:t>
      </w:r>
      <w:r w:rsidR="00D714C2">
        <w:rPr>
          <w:rFonts w:ascii="Arial" w:hAnsi="Arial" w:cs="Arial"/>
          <w:sz w:val="24"/>
          <w:szCs w:val="24"/>
          <w:lang w:val="en-US"/>
        </w:rPr>
        <w:t>28</w:t>
      </w:r>
      <w:r w:rsidR="00EB1018" w:rsidRPr="0065408A">
        <w:rPr>
          <w:rFonts w:ascii="Arial" w:hAnsi="Arial" w:cs="Arial"/>
          <w:sz w:val="24"/>
          <w:szCs w:val="24"/>
          <w:lang w:val="en-US"/>
        </w:rPr>
        <w:t>),</w:t>
      </w:r>
      <w:r w:rsidR="00A37E11" w:rsidRPr="0065408A">
        <w:rPr>
          <w:rFonts w:ascii="Arial" w:hAnsi="Arial" w:cs="Arial"/>
          <w:sz w:val="24"/>
          <w:szCs w:val="24"/>
          <w:lang w:val="en-US"/>
        </w:rPr>
        <w:t xml:space="preserve"> </w:t>
      </w:r>
      <w:r w:rsidR="00D32E14" w:rsidRPr="0065408A">
        <w:rPr>
          <w:rFonts w:ascii="Arial" w:hAnsi="Arial" w:cs="Arial"/>
          <w:sz w:val="24"/>
          <w:szCs w:val="24"/>
          <w:lang w:val="en-US"/>
        </w:rPr>
        <w:t xml:space="preserve">while higher estrogen levels in women </w:t>
      </w:r>
      <w:r w:rsidR="003E09CF" w:rsidRPr="0065408A">
        <w:rPr>
          <w:rFonts w:ascii="Arial" w:hAnsi="Arial" w:cs="Arial"/>
          <w:sz w:val="24"/>
          <w:szCs w:val="24"/>
          <w:lang w:val="en-US"/>
        </w:rPr>
        <w:t>promote subcutaneous fat deposition especially in the hips, thighs and chest</w:t>
      </w:r>
      <w:r w:rsidR="00EB1018" w:rsidRPr="0065408A">
        <w:rPr>
          <w:rFonts w:ascii="Arial" w:hAnsi="Arial" w:cs="Arial"/>
          <w:sz w:val="24"/>
          <w:szCs w:val="24"/>
          <w:lang w:val="en-US"/>
        </w:rPr>
        <w:t xml:space="preserve"> (</w:t>
      </w:r>
      <w:r w:rsidR="00D714C2">
        <w:rPr>
          <w:rFonts w:ascii="Arial" w:hAnsi="Arial" w:cs="Arial"/>
          <w:sz w:val="24"/>
          <w:szCs w:val="24"/>
          <w:lang w:val="en-US"/>
        </w:rPr>
        <w:t>29</w:t>
      </w:r>
      <w:r w:rsidR="00EB1018" w:rsidRPr="0065408A">
        <w:rPr>
          <w:rFonts w:ascii="Arial" w:hAnsi="Arial" w:cs="Arial"/>
          <w:sz w:val="24"/>
          <w:szCs w:val="24"/>
          <w:lang w:val="en-US"/>
        </w:rPr>
        <w:t>).</w:t>
      </w:r>
      <w:r w:rsidR="00D32E14" w:rsidRPr="0065408A">
        <w:rPr>
          <w:rFonts w:ascii="Arial" w:hAnsi="Arial" w:cs="Arial"/>
          <w:sz w:val="24"/>
          <w:szCs w:val="24"/>
          <w:lang w:val="en-US"/>
        </w:rPr>
        <w:t xml:space="preserve"> </w:t>
      </w:r>
      <w:r w:rsidR="00A65D45" w:rsidRPr="0065408A">
        <w:rPr>
          <w:rFonts w:ascii="Arial" w:hAnsi="Arial" w:cs="Arial"/>
          <w:sz w:val="24"/>
          <w:szCs w:val="24"/>
          <w:lang w:val="en-US"/>
        </w:rPr>
        <w:t xml:space="preserve">In addition, </w:t>
      </w:r>
      <w:r w:rsidR="004A4FA0" w:rsidRPr="0065408A">
        <w:rPr>
          <w:rFonts w:ascii="Arial" w:hAnsi="Arial" w:cs="Arial"/>
          <w:sz w:val="24"/>
          <w:szCs w:val="24"/>
          <w:lang w:val="en-US"/>
        </w:rPr>
        <w:t>a</w:t>
      </w:r>
      <w:r w:rsidR="006D61C8" w:rsidRPr="0065408A">
        <w:rPr>
          <w:rFonts w:ascii="Arial" w:hAnsi="Arial" w:cs="Arial"/>
          <w:sz w:val="24"/>
          <w:szCs w:val="24"/>
          <w:lang w:val="en-US"/>
        </w:rPr>
        <w:t xml:space="preserve">pproximately 75% of skeletal muscle </w:t>
      </w:r>
      <w:r w:rsidR="004A4FA0" w:rsidRPr="0065408A">
        <w:rPr>
          <w:rFonts w:ascii="Arial" w:hAnsi="Arial" w:cs="Arial"/>
          <w:sz w:val="24"/>
          <w:szCs w:val="24"/>
          <w:lang w:val="en-US"/>
        </w:rPr>
        <w:t xml:space="preserve">tissue </w:t>
      </w:r>
      <w:r w:rsidR="00EE6B8D" w:rsidRPr="0065408A">
        <w:rPr>
          <w:rFonts w:ascii="Arial" w:hAnsi="Arial" w:cs="Arial"/>
          <w:sz w:val="24"/>
          <w:szCs w:val="24"/>
          <w:lang w:val="en-US"/>
        </w:rPr>
        <w:t xml:space="preserve">is </w:t>
      </w:r>
      <w:r w:rsidR="006D61C8" w:rsidRPr="0065408A">
        <w:rPr>
          <w:rFonts w:ascii="Arial" w:hAnsi="Arial" w:cs="Arial"/>
          <w:sz w:val="24"/>
          <w:szCs w:val="24"/>
          <w:lang w:val="en-US"/>
        </w:rPr>
        <w:t>composed of water</w:t>
      </w:r>
      <w:r w:rsidR="00EB1018" w:rsidRPr="0065408A">
        <w:rPr>
          <w:rFonts w:ascii="Arial" w:hAnsi="Arial" w:cs="Arial"/>
          <w:sz w:val="24"/>
          <w:szCs w:val="24"/>
          <w:lang w:val="en-US"/>
        </w:rPr>
        <w:t xml:space="preserve"> (</w:t>
      </w:r>
      <w:r w:rsidR="00D714C2">
        <w:rPr>
          <w:rFonts w:ascii="Arial" w:hAnsi="Arial" w:cs="Arial"/>
          <w:sz w:val="24"/>
          <w:szCs w:val="24"/>
          <w:lang w:val="en-US"/>
        </w:rPr>
        <w:t>30</w:t>
      </w:r>
      <w:r w:rsidR="00EB1018" w:rsidRPr="0065408A">
        <w:rPr>
          <w:rFonts w:ascii="Arial" w:hAnsi="Arial" w:cs="Arial"/>
          <w:sz w:val="24"/>
          <w:szCs w:val="24"/>
          <w:lang w:val="en-US"/>
        </w:rPr>
        <w:t>).</w:t>
      </w:r>
      <w:r w:rsidR="006D61C8" w:rsidRPr="0065408A">
        <w:rPr>
          <w:rFonts w:ascii="Arial" w:hAnsi="Arial" w:cs="Arial"/>
          <w:sz w:val="24"/>
          <w:szCs w:val="24"/>
          <w:lang w:val="en-US"/>
        </w:rPr>
        <w:t xml:space="preserve"> T</w:t>
      </w:r>
      <w:r w:rsidR="00A65D45" w:rsidRPr="0065408A">
        <w:rPr>
          <w:rFonts w:ascii="Arial" w:hAnsi="Arial" w:cs="Arial"/>
          <w:sz w:val="24"/>
          <w:szCs w:val="24"/>
          <w:lang w:val="en-US"/>
        </w:rPr>
        <w:t xml:space="preserve">hus, </w:t>
      </w:r>
      <w:r w:rsidR="00A37E11" w:rsidRPr="0065408A">
        <w:rPr>
          <w:rFonts w:ascii="Arial" w:hAnsi="Arial" w:cs="Arial"/>
          <w:sz w:val="24"/>
          <w:szCs w:val="24"/>
          <w:lang w:val="en-US"/>
        </w:rPr>
        <w:t>with</w:t>
      </w:r>
      <w:r w:rsidR="00A65D45" w:rsidRPr="0065408A">
        <w:rPr>
          <w:rFonts w:ascii="Arial" w:hAnsi="Arial" w:cs="Arial"/>
          <w:sz w:val="24"/>
          <w:szCs w:val="24"/>
          <w:lang w:val="en-US"/>
        </w:rPr>
        <w:t xml:space="preserve"> higher muscle mass</w:t>
      </w:r>
      <w:r w:rsidR="00A37E11" w:rsidRPr="0065408A">
        <w:rPr>
          <w:rFonts w:ascii="Arial" w:hAnsi="Arial" w:cs="Arial"/>
          <w:sz w:val="24"/>
          <w:szCs w:val="24"/>
          <w:lang w:val="en-US"/>
        </w:rPr>
        <w:t xml:space="preserve">, men </w:t>
      </w:r>
      <w:r w:rsidR="00904A39" w:rsidRPr="0065408A">
        <w:rPr>
          <w:rFonts w:ascii="Arial" w:hAnsi="Arial" w:cs="Arial"/>
          <w:sz w:val="24"/>
          <w:szCs w:val="24"/>
          <w:lang w:val="en-US"/>
        </w:rPr>
        <w:t xml:space="preserve">inadvertently </w:t>
      </w:r>
      <w:r w:rsidR="00274DF3" w:rsidRPr="0065408A">
        <w:rPr>
          <w:rFonts w:ascii="Arial" w:hAnsi="Arial" w:cs="Arial"/>
          <w:sz w:val="24"/>
          <w:szCs w:val="24"/>
          <w:lang w:val="en-US"/>
        </w:rPr>
        <w:t>hold</w:t>
      </w:r>
      <w:r w:rsidR="00904A39" w:rsidRPr="0065408A">
        <w:rPr>
          <w:rFonts w:ascii="Arial" w:hAnsi="Arial" w:cs="Arial"/>
          <w:sz w:val="24"/>
          <w:szCs w:val="24"/>
          <w:lang w:val="en-US"/>
        </w:rPr>
        <w:t xml:space="preserve"> </w:t>
      </w:r>
      <w:r w:rsidR="00A65D45" w:rsidRPr="0065408A">
        <w:rPr>
          <w:rFonts w:ascii="Arial" w:hAnsi="Arial" w:cs="Arial"/>
          <w:sz w:val="24"/>
          <w:szCs w:val="24"/>
          <w:lang w:val="en-US"/>
        </w:rPr>
        <w:t>more total body water, further contributing to the discrepancy in fat mass and fat-free mass between men and women.</w:t>
      </w:r>
      <w:r w:rsidR="0015456E" w:rsidRPr="0065408A">
        <w:rPr>
          <w:rFonts w:ascii="Arial" w:hAnsi="Arial" w:cs="Arial"/>
          <w:sz w:val="24"/>
          <w:szCs w:val="24"/>
          <w:lang w:val="en-US"/>
        </w:rPr>
        <w:t xml:space="preserve"> </w:t>
      </w:r>
      <w:r w:rsidR="006D61C8" w:rsidRPr="0065408A">
        <w:rPr>
          <w:rFonts w:ascii="Arial" w:hAnsi="Arial" w:cs="Arial"/>
          <w:sz w:val="24"/>
          <w:szCs w:val="24"/>
          <w:lang w:val="en-US"/>
        </w:rPr>
        <w:t>To address the underlying gender-bias of the FM/FFM criteria and improve its accuracy in identifying gender-specific obesity and SO prevalence, d</w:t>
      </w:r>
      <w:r w:rsidR="0015456E" w:rsidRPr="0065408A">
        <w:rPr>
          <w:rFonts w:ascii="Arial" w:hAnsi="Arial" w:cs="Arial"/>
          <w:sz w:val="24"/>
          <w:szCs w:val="24"/>
          <w:lang w:val="en-US"/>
        </w:rPr>
        <w:t>ifferent cut-off values for men and women (lower cut-off values for men) should be explored</w:t>
      </w:r>
      <w:r w:rsidR="006D61C8" w:rsidRPr="0065408A">
        <w:rPr>
          <w:rFonts w:ascii="Arial" w:hAnsi="Arial" w:cs="Arial"/>
          <w:sz w:val="24"/>
          <w:szCs w:val="24"/>
          <w:lang w:val="en-US"/>
        </w:rPr>
        <w:t>.</w:t>
      </w:r>
    </w:p>
    <w:p w14:paraId="0DA63F10" w14:textId="7175AA79" w:rsidR="00904A39" w:rsidRPr="0065408A" w:rsidRDefault="00904A39" w:rsidP="00830047">
      <w:pPr>
        <w:spacing w:after="0" w:line="480" w:lineRule="auto"/>
        <w:rPr>
          <w:rFonts w:ascii="Arial" w:hAnsi="Arial" w:cs="Arial"/>
          <w:sz w:val="24"/>
          <w:szCs w:val="24"/>
          <w:lang w:val="en-US"/>
        </w:rPr>
      </w:pPr>
    </w:p>
    <w:p w14:paraId="0652D891" w14:textId="23CDB190" w:rsidR="0046576B" w:rsidRPr="00003C03" w:rsidRDefault="008E570E" w:rsidP="00830047">
      <w:pPr>
        <w:spacing w:after="0" w:line="480" w:lineRule="auto"/>
        <w:rPr>
          <w:rFonts w:ascii="Arial" w:hAnsi="Arial" w:cs="Arial"/>
          <w:bCs/>
          <w:sz w:val="24"/>
          <w:szCs w:val="24"/>
          <w:lang w:val="en-US"/>
        </w:rPr>
      </w:pPr>
      <w:r w:rsidRPr="0065408A">
        <w:rPr>
          <w:rFonts w:ascii="Arial" w:hAnsi="Arial" w:cs="Arial"/>
          <w:bCs/>
          <w:sz w:val="24"/>
          <w:szCs w:val="24"/>
          <w:lang w:val="en-US"/>
        </w:rPr>
        <w:lastRenderedPageBreak/>
        <w:t>A recent study on 1235 adults with type 2 diabetes (T2D) in Singapore (≥45 years)</w:t>
      </w:r>
      <w:r w:rsidR="00EB1018" w:rsidRPr="0065408A">
        <w:rPr>
          <w:rFonts w:ascii="Arial" w:hAnsi="Arial" w:cs="Arial"/>
          <w:bCs/>
          <w:sz w:val="24"/>
          <w:szCs w:val="24"/>
          <w:vertAlign w:val="superscript"/>
          <w:lang w:val="en-US"/>
        </w:rPr>
        <w:t xml:space="preserve"> </w:t>
      </w:r>
      <w:r w:rsidRPr="0065408A">
        <w:rPr>
          <w:rFonts w:ascii="Arial" w:hAnsi="Arial" w:cs="Arial"/>
          <w:bCs/>
          <w:sz w:val="24"/>
          <w:szCs w:val="24"/>
          <w:lang w:val="en-US"/>
        </w:rPr>
        <w:t>reported a SO p</w:t>
      </w:r>
      <w:r w:rsidR="0046576B" w:rsidRPr="0065408A">
        <w:rPr>
          <w:rFonts w:ascii="Arial" w:hAnsi="Arial" w:cs="Arial"/>
          <w:bCs/>
          <w:sz w:val="24"/>
          <w:szCs w:val="24"/>
          <w:lang w:val="en-US"/>
        </w:rPr>
        <w:t xml:space="preserve">revalence of </w:t>
      </w:r>
      <w:r w:rsidRPr="0065408A">
        <w:rPr>
          <w:rFonts w:ascii="Arial" w:hAnsi="Arial" w:cs="Arial"/>
          <w:bCs/>
          <w:sz w:val="24"/>
          <w:szCs w:val="24"/>
          <w:lang w:val="en-US"/>
        </w:rPr>
        <w:t xml:space="preserve">19.4% </w:t>
      </w:r>
      <w:r w:rsidR="0046576B" w:rsidRPr="0065408A">
        <w:rPr>
          <w:rFonts w:ascii="Arial" w:hAnsi="Arial" w:cs="Arial"/>
          <w:bCs/>
          <w:sz w:val="24"/>
          <w:szCs w:val="24"/>
          <w:lang w:val="en-US"/>
        </w:rPr>
        <w:t>using the FM/FFM</w:t>
      </w:r>
      <w:r w:rsidRPr="0065408A">
        <w:rPr>
          <w:rFonts w:ascii="Arial" w:hAnsi="Arial" w:cs="Arial"/>
          <w:bCs/>
          <w:sz w:val="24"/>
          <w:szCs w:val="24"/>
          <w:lang w:val="en-US"/>
        </w:rPr>
        <w:t>-based</w:t>
      </w:r>
      <w:r w:rsidR="0046576B" w:rsidRPr="0065408A">
        <w:rPr>
          <w:rFonts w:ascii="Arial" w:hAnsi="Arial" w:cs="Arial"/>
          <w:bCs/>
          <w:sz w:val="24"/>
          <w:szCs w:val="24"/>
          <w:lang w:val="en-US"/>
        </w:rPr>
        <w:t xml:space="preserve"> definition</w:t>
      </w:r>
      <w:r w:rsidRPr="0065408A">
        <w:rPr>
          <w:rFonts w:ascii="Arial" w:hAnsi="Arial" w:cs="Arial"/>
          <w:bCs/>
          <w:sz w:val="24"/>
          <w:szCs w:val="24"/>
          <w:lang w:val="en-US"/>
        </w:rPr>
        <w:t xml:space="preserve">, higher than the </w:t>
      </w:r>
      <w:r w:rsidR="00325B39">
        <w:rPr>
          <w:rFonts w:ascii="Arial" w:hAnsi="Arial" w:cs="Arial"/>
          <w:bCs/>
          <w:sz w:val="24"/>
          <w:szCs w:val="24"/>
          <w:lang w:val="en-US"/>
        </w:rPr>
        <w:t>2.3</w:t>
      </w:r>
      <w:r w:rsidR="0046576B" w:rsidRPr="0065408A">
        <w:rPr>
          <w:rFonts w:ascii="Arial" w:hAnsi="Arial" w:cs="Arial"/>
          <w:bCs/>
          <w:sz w:val="24"/>
          <w:szCs w:val="24"/>
          <w:lang w:val="en-US"/>
        </w:rPr>
        <w:t xml:space="preserve">% reported in </w:t>
      </w:r>
      <w:r w:rsidRPr="0065408A">
        <w:rPr>
          <w:rFonts w:ascii="Arial" w:hAnsi="Arial" w:cs="Arial"/>
          <w:bCs/>
          <w:sz w:val="24"/>
          <w:szCs w:val="24"/>
          <w:lang w:val="en-US"/>
        </w:rPr>
        <w:t>this study, although the</w:t>
      </w:r>
      <w:r w:rsidR="0046576B" w:rsidRPr="0065408A">
        <w:rPr>
          <w:rFonts w:ascii="Arial" w:hAnsi="Arial" w:cs="Arial"/>
          <w:bCs/>
          <w:sz w:val="24"/>
          <w:szCs w:val="24"/>
          <w:lang w:val="en-US"/>
        </w:rPr>
        <w:t xml:space="preserve"> criteria for diagnosing SO </w:t>
      </w:r>
      <w:r w:rsidRPr="0065408A">
        <w:rPr>
          <w:rFonts w:ascii="Arial" w:hAnsi="Arial" w:cs="Arial"/>
          <w:bCs/>
          <w:sz w:val="24"/>
          <w:szCs w:val="24"/>
          <w:lang w:val="en-US"/>
        </w:rPr>
        <w:t xml:space="preserve">in that study </w:t>
      </w:r>
      <w:r w:rsidR="0046576B" w:rsidRPr="0065408A">
        <w:rPr>
          <w:rFonts w:ascii="Arial" w:hAnsi="Arial" w:cs="Arial"/>
          <w:bCs/>
          <w:sz w:val="24"/>
          <w:szCs w:val="24"/>
          <w:lang w:val="en-US"/>
        </w:rPr>
        <w:t xml:space="preserve">did not include the AWGS functional components for sarcopenia, which could </w:t>
      </w:r>
      <w:r w:rsidRPr="0065408A">
        <w:rPr>
          <w:rFonts w:ascii="Arial" w:hAnsi="Arial" w:cs="Arial"/>
          <w:bCs/>
          <w:sz w:val="24"/>
          <w:szCs w:val="24"/>
          <w:lang w:val="en-US"/>
        </w:rPr>
        <w:t xml:space="preserve">possibly </w:t>
      </w:r>
      <w:r w:rsidR="0065592F" w:rsidRPr="0065408A">
        <w:rPr>
          <w:rFonts w:ascii="Arial" w:hAnsi="Arial" w:cs="Arial"/>
          <w:bCs/>
          <w:sz w:val="24"/>
          <w:szCs w:val="24"/>
          <w:lang w:val="en-US"/>
        </w:rPr>
        <w:t xml:space="preserve">have </w:t>
      </w:r>
      <w:r w:rsidR="0046576B" w:rsidRPr="0065408A">
        <w:rPr>
          <w:rFonts w:ascii="Arial" w:hAnsi="Arial" w:cs="Arial"/>
          <w:bCs/>
          <w:sz w:val="24"/>
          <w:szCs w:val="24"/>
          <w:lang w:val="en-US"/>
        </w:rPr>
        <w:t>inflated the proportions identified with SO</w:t>
      </w:r>
      <w:r w:rsidR="00EB1018" w:rsidRPr="0065408A">
        <w:rPr>
          <w:rFonts w:ascii="Arial" w:hAnsi="Arial" w:cs="Arial"/>
          <w:bCs/>
          <w:sz w:val="24"/>
          <w:szCs w:val="24"/>
          <w:lang w:val="en-US"/>
        </w:rPr>
        <w:t xml:space="preserve"> (6)</w:t>
      </w:r>
      <w:r w:rsidR="0046576B" w:rsidRPr="0065408A">
        <w:rPr>
          <w:rFonts w:ascii="Arial" w:hAnsi="Arial" w:cs="Arial"/>
          <w:bCs/>
          <w:sz w:val="24"/>
          <w:szCs w:val="24"/>
          <w:lang w:val="en-US"/>
        </w:rPr>
        <w:t xml:space="preserve">. </w:t>
      </w:r>
      <w:r w:rsidR="00CF1CC7" w:rsidRPr="0065408A">
        <w:rPr>
          <w:rFonts w:ascii="Arial" w:hAnsi="Arial" w:cs="Arial"/>
          <w:bCs/>
          <w:sz w:val="24"/>
          <w:szCs w:val="24"/>
          <w:lang w:val="en-US"/>
        </w:rPr>
        <w:t>Furthermore, p</w:t>
      </w:r>
      <w:r w:rsidRPr="0065408A">
        <w:rPr>
          <w:rFonts w:ascii="Arial" w:hAnsi="Arial" w:cs="Arial"/>
          <w:bCs/>
          <w:sz w:val="24"/>
          <w:szCs w:val="24"/>
          <w:lang w:val="en-US"/>
        </w:rPr>
        <w:t>revious studies have shown a close link between sarcopenia and obesity</w:t>
      </w:r>
      <w:r w:rsidR="0040774E" w:rsidRPr="0065408A">
        <w:rPr>
          <w:rFonts w:ascii="Arial" w:hAnsi="Arial" w:cs="Arial"/>
          <w:bCs/>
          <w:sz w:val="24"/>
          <w:szCs w:val="24"/>
          <w:lang w:val="en-US"/>
        </w:rPr>
        <w:t xml:space="preserve"> </w:t>
      </w:r>
      <w:r w:rsidRPr="0065408A">
        <w:rPr>
          <w:rFonts w:ascii="Arial" w:hAnsi="Arial" w:cs="Arial"/>
          <w:bCs/>
          <w:sz w:val="24"/>
          <w:szCs w:val="24"/>
          <w:lang w:val="en-US"/>
        </w:rPr>
        <w:t>through insulin resistance</w:t>
      </w:r>
      <w:r w:rsidR="002A40A1" w:rsidRPr="0065408A">
        <w:rPr>
          <w:rFonts w:ascii="Arial" w:hAnsi="Arial" w:cs="Arial"/>
          <w:bCs/>
          <w:sz w:val="24"/>
          <w:szCs w:val="24"/>
          <w:lang w:val="en-US"/>
        </w:rPr>
        <w:t xml:space="preserve"> </w:t>
      </w:r>
      <w:r w:rsidR="00EB1018" w:rsidRPr="0065408A">
        <w:rPr>
          <w:rFonts w:ascii="Arial" w:hAnsi="Arial" w:cs="Arial"/>
          <w:bCs/>
          <w:sz w:val="24"/>
          <w:szCs w:val="24"/>
          <w:lang w:val="en-US"/>
        </w:rPr>
        <w:t xml:space="preserve">(3). </w:t>
      </w:r>
      <w:r w:rsidRPr="0065408A">
        <w:rPr>
          <w:rFonts w:ascii="Arial" w:hAnsi="Arial" w:cs="Arial"/>
          <w:bCs/>
          <w:sz w:val="24"/>
          <w:szCs w:val="24"/>
          <w:lang w:val="en-US"/>
        </w:rPr>
        <w:t>Visceral fat accumulation (which promotes secretion of pro-inflammatory cytokines) is a contributing factor to</w:t>
      </w:r>
      <w:r w:rsidR="0040774E" w:rsidRPr="0065408A">
        <w:rPr>
          <w:rFonts w:ascii="Arial" w:hAnsi="Arial" w:cs="Arial"/>
          <w:bCs/>
          <w:sz w:val="24"/>
          <w:szCs w:val="24"/>
          <w:lang w:val="en-US"/>
        </w:rPr>
        <w:t xml:space="preserve"> the</w:t>
      </w:r>
      <w:r w:rsidRPr="0065408A">
        <w:rPr>
          <w:rFonts w:ascii="Arial" w:hAnsi="Arial" w:cs="Arial"/>
          <w:bCs/>
          <w:sz w:val="24"/>
          <w:szCs w:val="24"/>
          <w:lang w:val="en-US"/>
        </w:rPr>
        <w:t xml:space="preserve"> loss of skeletal muscle (which is the largest insulin-responsive tissue). </w:t>
      </w:r>
      <w:r w:rsidR="009008C4" w:rsidRPr="0065408A">
        <w:rPr>
          <w:rFonts w:ascii="Arial" w:hAnsi="Arial" w:cs="Arial"/>
          <w:bCs/>
          <w:sz w:val="24"/>
          <w:szCs w:val="24"/>
          <w:lang w:val="en-US"/>
        </w:rPr>
        <w:t>O</w:t>
      </w:r>
      <w:r w:rsidR="0046576B" w:rsidRPr="0065408A">
        <w:rPr>
          <w:rFonts w:ascii="Arial" w:hAnsi="Arial" w:cs="Arial"/>
          <w:bCs/>
          <w:sz w:val="24"/>
          <w:szCs w:val="24"/>
          <w:lang w:val="en-US"/>
        </w:rPr>
        <w:t>besity and sarcopenia have a synergistic effect on promoting insulin resistance which could exacerbate T2D</w:t>
      </w:r>
      <w:r w:rsidR="00EB1018" w:rsidRPr="0065408A">
        <w:rPr>
          <w:rFonts w:ascii="Arial" w:hAnsi="Arial" w:cs="Arial"/>
          <w:bCs/>
          <w:sz w:val="24"/>
          <w:szCs w:val="24"/>
          <w:lang w:val="en-US"/>
        </w:rPr>
        <w:t xml:space="preserve"> (4).</w:t>
      </w:r>
      <w:r w:rsidR="0046576B" w:rsidRPr="0065408A">
        <w:rPr>
          <w:rFonts w:ascii="Arial" w:hAnsi="Arial" w:cs="Arial"/>
          <w:bCs/>
          <w:sz w:val="24"/>
          <w:szCs w:val="24"/>
          <w:lang w:val="en-US"/>
        </w:rPr>
        <w:t xml:space="preserve"> </w:t>
      </w:r>
      <w:r w:rsidR="002A40A1" w:rsidRPr="0065408A">
        <w:rPr>
          <w:rFonts w:ascii="Arial" w:hAnsi="Arial" w:cs="Arial"/>
          <w:bCs/>
          <w:sz w:val="24"/>
          <w:szCs w:val="24"/>
          <w:lang w:val="en-US"/>
        </w:rPr>
        <w:t>In addition</w:t>
      </w:r>
      <w:r w:rsidR="0046576B" w:rsidRPr="0065408A">
        <w:rPr>
          <w:rFonts w:ascii="Arial" w:hAnsi="Arial" w:cs="Arial"/>
          <w:bCs/>
          <w:sz w:val="24"/>
          <w:szCs w:val="24"/>
          <w:lang w:val="en-US"/>
        </w:rPr>
        <w:t xml:space="preserve">, patients with T2D exhibit insulin resistance, systemic inflammation and metabolic complications that could in turn perpetuate excess adiposity accumulation and loss </w:t>
      </w:r>
      <w:r w:rsidR="0046576B" w:rsidRPr="00003C03">
        <w:rPr>
          <w:rFonts w:ascii="Arial" w:hAnsi="Arial" w:cs="Arial"/>
          <w:bCs/>
          <w:sz w:val="24"/>
          <w:szCs w:val="24"/>
          <w:lang w:val="en-US"/>
        </w:rPr>
        <w:t>of muscle mass</w:t>
      </w:r>
      <w:r w:rsidR="00EB1018" w:rsidRPr="00003C03">
        <w:rPr>
          <w:rFonts w:ascii="Arial" w:hAnsi="Arial" w:cs="Arial"/>
          <w:bCs/>
          <w:sz w:val="24"/>
          <w:szCs w:val="24"/>
          <w:lang w:val="en-US"/>
        </w:rPr>
        <w:t xml:space="preserve"> (3), </w:t>
      </w:r>
      <w:r w:rsidR="0046576B" w:rsidRPr="00003C03">
        <w:rPr>
          <w:rFonts w:ascii="Arial" w:hAnsi="Arial" w:cs="Arial"/>
          <w:bCs/>
          <w:sz w:val="24"/>
          <w:szCs w:val="24"/>
          <w:lang w:val="en-US"/>
        </w:rPr>
        <w:t>leading to a vicious cycle of worsening insulin resistance, T2D, sarcopenia and obesity</w:t>
      </w:r>
      <w:r w:rsidR="00EB1018" w:rsidRPr="00003C03">
        <w:rPr>
          <w:rFonts w:ascii="Arial" w:hAnsi="Arial" w:cs="Arial"/>
          <w:bCs/>
          <w:sz w:val="24"/>
          <w:szCs w:val="24"/>
          <w:lang w:val="en-US"/>
        </w:rPr>
        <w:t xml:space="preserve"> (4).</w:t>
      </w:r>
    </w:p>
    <w:p w14:paraId="3B6E0216" w14:textId="77777777" w:rsidR="0046576B" w:rsidRPr="00003C03" w:rsidRDefault="0046576B" w:rsidP="00830047">
      <w:pPr>
        <w:spacing w:after="0" w:line="480" w:lineRule="auto"/>
        <w:rPr>
          <w:rFonts w:ascii="Arial" w:hAnsi="Arial" w:cs="Arial"/>
          <w:sz w:val="24"/>
          <w:szCs w:val="24"/>
          <w:lang w:val="en-US"/>
        </w:rPr>
      </w:pPr>
    </w:p>
    <w:p w14:paraId="6A971B73" w14:textId="44E613C2" w:rsidR="00226C77" w:rsidRPr="00003C03" w:rsidRDefault="00003C03" w:rsidP="00830047">
      <w:pPr>
        <w:spacing w:after="0" w:line="480" w:lineRule="auto"/>
        <w:rPr>
          <w:rFonts w:ascii="Arial" w:hAnsi="Arial" w:cs="Arial"/>
          <w:strike/>
          <w:sz w:val="24"/>
          <w:szCs w:val="24"/>
          <w:lang w:val="en-US"/>
        </w:rPr>
      </w:pPr>
      <w:r w:rsidRPr="00003C03">
        <w:rPr>
          <w:rStyle w:val="selectable"/>
          <w:rFonts w:ascii="Arial" w:hAnsi="Arial" w:cs="Arial"/>
          <w:sz w:val="24"/>
          <w:szCs w:val="24"/>
        </w:rPr>
        <w:t>The strengths of this study are its population-based nature, thoroughness of data collection and application of up-to-date and evidence-based consensus.</w:t>
      </w:r>
      <w:r>
        <w:rPr>
          <w:rStyle w:val="selectable"/>
          <w:rFonts w:ascii="Arial" w:hAnsi="Arial" w:cs="Arial"/>
          <w:sz w:val="24"/>
          <w:szCs w:val="24"/>
        </w:rPr>
        <w:t xml:space="preserve"> </w:t>
      </w:r>
      <w:r w:rsidRPr="00003C03">
        <w:rPr>
          <w:rStyle w:val="selectable"/>
          <w:rFonts w:ascii="Arial" w:hAnsi="Arial" w:cs="Arial"/>
          <w:sz w:val="24"/>
          <w:szCs w:val="24"/>
        </w:rPr>
        <w:t xml:space="preserve">It also has a few limitations. </w:t>
      </w:r>
      <w:r w:rsidR="00226C77" w:rsidRPr="00003C03">
        <w:rPr>
          <w:rFonts w:ascii="Arial" w:hAnsi="Arial" w:cs="Arial"/>
          <w:sz w:val="24"/>
          <w:szCs w:val="24"/>
          <w:lang w:val="en-US"/>
        </w:rPr>
        <w:t>It presents cross-sectional data on obesity, muscular health and function of Singaporeans</w:t>
      </w:r>
      <w:r w:rsidR="007B1EC2" w:rsidRPr="00003C03">
        <w:rPr>
          <w:rFonts w:ascii="Arial" w:hAnsi="Arial" w:cs="Arial"/>
          <w:sz w:val="24"/>
          <w:szCs w:val="24"/>
          <w:lang w:val="en-US"/>
        </w:rPr>
        <w:t>,</w:t>
      </w:r>
      <w:r w:rsidR="00226C77" w:rsidRPr="00003C03">
        <w:rPr>
          <w:rFonts w:ascii="Arial" w:hAnsi="Arial" w:cs="Arial"/>
          <w:sz w:val="24"/>
          <w:szCs w:val="24"/>
          <w:lang w:val="en-US"/>
        </w:rPr>
        <w:t xml:space="preserve"> </w:t>
      </w:r>
      <w:r w:rsidR="007B1EC2" w:rsidRPr="00003C03">
        <w:rPr>
          <w:rFonts w:ascii="Arial" w:hAnsi="Arial" w:cs="Arial"/>
          <w:sz w:val="24"/>
          <w:szCs w:val="24"/>
          <w:lang w:val="en-US"/>
        </w:rPr>
        <w:t>which precludes</w:t>
      </w:r>
      <w:r w:rsidR="00226C77" w:rsidRPr="00003C03">
        <w:rPr>
          <w:rFonts w:ascii="Arial" w:hAnsi="Arial" w:cs="Arial"/>
          <w:sz w:val="24"/>
          <w:szCs w:val="24"/>
          <w:lang w:val="en-US"/>
        </w:rPr>
        <w:t xml:space="preserve"> </w:t>
      </w:r>
      <w:r w:rsidR="002C7C8A" w:rsidRPr="00003C03">
        <w:rPr>
          <w:rFonts w:ascii="Arial" w:hAnsi="Arial" w:cs="Arial"/>
          <w:sz w:val="24"/>
          <w:szCs w:val="24"/>
          <w:lang w:val="en-US"/>
        </w:rPr>
        <w:t xml:space="preserve">inferences on </w:t>
      </w:r>
      <w:r w:rsidR="00226C77" w:rsidRPr="00003C03">
        <w:rPr>
          <w:rFonts w:ascii="Arial" w:hAnsi="Arial" w:cs="Arial"/>
          <w:sz w:val="24"/>
          <w:szCs w:val="24"/>
          <w:lang w:val="en-US"/>
        </w:rPr>
        <w:t xml:space="preserve">causality. </w:t>
      </w:r>
      <w:r w:rsidR="007B1EC2" w:rsidRPr="00003C03">
        <w:rPr>
          <w:rFonts w:ascii="Arial" w:hAnsi="Arial" w:cs="Arial"/>
          <w:sz w:val="24"/>
          <w:szCs w:val="24"/>
          <w:lang w:val="en-US"/>
        </w:rPr>
        <w:t xml:space="preserve">Agreement amongst the obesity definitions </w:t>
      </w:r>
      <w:r w:rsidR="004217C4" w:rsidRPr="00003C03">
        <w:rPr>
          <w:rFonts w:ascii="Arial" w:hAnsi="Arial" w:cs="Arial"/>
          <w:sz w:val="24"/>
          <w:szCs w:val="24"/>
          <w:lang w:val="en-US"/>
        </w:rPr>
        <w:t>was</w:t>
      </w:r>
      <w:r w:rsidR="007B1EC2" w:rsidRPr="00003C03">
        <w:rPr>
          <w:rFonts w:ascii="Arial" w:hAnsi="Arial" w:cs="Arial"/>
          <w:sz w:val="24"/>
          <w:szCs w:val="24"/>
          <w:lang w:val="en-US"/>
        </w:rPr>
        <w:t xml:space="preserve"> also not investigated, though it has previously been established that different obesity definitions intrinsically measure different constructs and are therefore not interchangeable</w:t>
      </w:r>
      <w:r w:rsidR="00EB1018" w:rsidRPr="00003C03">
        <w:rPr>
          <w:rFonts w:ascii="Arial" w:hAnsi="Arial" w:cs="Arial"/>
          <w:sz w:val="24"/>
          <w:szCs w:val="24"/>
          <w:lang w:val="en-US"/>
        </w:rPr>
        <w:t xml:space="preserve"> (5).</w:t>
      </w:r>
      <w:r w:rsidR="007B1EC2" w:rsidRPr="00003C03">
        <w:rPr>
          <w:rFonts w:ascii="Arial" w:hAnsi="Arial" w:cs="Arial"/>
          <w:sz w:val="24"/>
          <w:szCs w:val="24"/>
          <w:lang w:val="en-US"/>
        </w:rPr>
        <w:t xml:space="preserve"> </w:t>
      </w:r>
      <w:r>
        <w:rPr>
          <w:rStyle w:val="selectable"/>
          <w:rFonts w:ascii="Arial" w:hAnsi="Arial" w:cs="Arial"/>
          <w:sz w:val="24"/>
          <w:szCs w:val="24"/>
        </w:rPr>
        <w:t xml:space="preserve">While the AWGS criteria </w:t>
      </w:r>
      <w:r w:rsidR="00136AC5">
        <w:rPr>
          <w:rStyle w:val="selectable"/>
          <w:rFonts w:ascii="Arial" w:hAnsi="Arial" w:cs="Arial"/>
          <w:sz w:val="24"/>
          <w:szCs w:val="24"/>
        </w:rPr>
        <w:t xml:space="preserve">is for </w:t>
      </w:r>
      <w:r>
        <w:rPr>
          <w:rStyle w:val="selectable"/>
          <w:rFonts w:ascii="Arial" w:hAnsi="Arial" w:cs="Arial"/>
          <w:sz w:val="24"/>
          <w:szCs w:val="24"/>
        </w:rPr>
        <w:t xml:space="preserve">older adults, we </w:t>
      </w:r>
      <w:r w:rsidR="00136AC5">
        <w:rPr>
          <w:rStyle w:val="selectable"/>
          <w:rFonts w:ascii="Arial" w:hAnsi="Arial" w:cs="Arial"/>
          <w:sz w:val="24"/>
          <w:szCs w:val="24"/>
        </w:rPr>
        <w:t xml:space="preserve">also </w:t>
      </w:r>
      <w:r>
        <w:rPr>
          <w:rStyle w:val="selectable"/>
          <w:rFonts w:ascii="Arial" w:hAnsi="Arial" w:cs="Arial"/>
          <w:sz w:val="24"/>
          <w:szCs w:val="24"/>
        </w:rPr>
        <w:t>applied th</w:t>
      </w:r>
      <w:r w:rsidR="00136AC5">
        <w:rPr>
          <w:rStyle w:val="selectable"/>
          <w:rFonts w:ascii="Arial" w:hAnsi="Arial" w:cs="Arial"/>
          <w:sz w:val="24"/>
          <w:szCs w:val="24"/>
        </w:rPr>
        <w:t>e same</w:t>
      </w:r>
      <w:r>
        <w:rPr>
          <w:rStyle w:val="selectable"/>
          <w:rFonts w:ascii="Arial" w:hAnsi="Arial" w:cs="Arial"/>
          <w:sz w:val="24"/>
          <w:szCs w:val="24"/>
        </w:rPr>
        <w:t xml:space="preserve"> criteria </w:t>
      </w:r>
      <w:r w:rsidR="00136AC5">
        <w:rPr>
          <w:rStyle w:val="selectable"/>
          <w:rFonts w:ascii="Arial" w:hAnsi="Arial" w:cs="Arial"/>
          <w:sz w:val="24"/>
          <w:szCs w:val="24"/>
        </w:rPr>
        <w:t>to estimate prevalence of SO in</w:t>
      </w:r>
      <w:r>
        <w:rPr>
          <w:rStyle w:val="selectable"/>
          <w:rFonts w:ascii="Arial" w:hAnsi="Arial" w:cs="Arial"/>
          <w:sz w:val="24"/>
          <w:szCs w:val="24"/>
        </w:rPr>
        <w:t xml:space="preserve"> younger adults</w:t>
      </w:r>
      <w:r w:rsidR="00136AC5">
        <w:rPr>
          <w:rStyle w:val="selectable"/>
          <w:rFonts w:ascii="Arial" w:hAnsi="Arial" w:cs="Arial"/>
          <w:sz w:val="24"/>
          <w:szCs w:val="24"/>
        </w:rPr>
        <w:t>, and so this would have been underestimate</w:t>
      </w:r>
      <w:r>
        <w:rPr>
          <w:rStyle w:val="selectable"/>
          <w:rFonts w:ascii="Arial" w:hAnsi="Arial" w:cs="Arial"/>
          <w:sz w:val="24"/>
          <w:szCs w:val="24"/>
        </w:rPr>
        <w:t xml:space="preserve">. </w:t>
      </w:r>
      <w:r w:rsidR="007B1EC2" w:rsidRPr="00003C03">
        <w:rPr>
          <w:rFonts w:ascii="Arial" w:hAnsi="Arial" w:cs="Arial"/>
          <w:sz w:val="24"/>
          <w:szCs w:val="24"/>
          <w:lang w:val="en-US"/>
        </w:rPr>
        <w:t>Finally, the</w:t>
      </w:r>
      <w:r w:rsidR="00226C77" w:rsidRPr="00003C03">
        <w:rPr>
          <w:rFonts w:ascii="Arial" w:hAnsi="Arial" w:cs="Arial"/>
          <w:sz w:val="24"/>
          <w:szCs w:val="24"/>
          <w:lang w:val="en-US"/>
        </w:rPr>
        <w:t xml:space="preserve"> participants </w:t>
      </w:r>
      <w:r w:rsidR="00226C77" w:rsidRPr="00003C03">
        <w:rPr>
          <w:rFonts w:ascii="Arial" w:hAnsi="Arial" w:cs="Arial"/>
          <w:sz w:val="24"/>
          <w:szCs w:val="24"/>
          <w:lang w:val="en-US"/>
        </w:rPr>
        <w:lastRenderedPageBreak/>
        <w:t xml:space="preserve">were community-dwelling adults; </w:t>
      </w:r>
      <w:r w:rsidR="006069DB" w:rsidRPr="00003C03">
        <w:rPr>
          <w:rFonts w:ascii="Arial" w:hAnsi="Arial" w:cs="Arial"/>
          <w:sz w:val="24"/>
          <w:szCs w:val="24"/>
          <w:lang w:val="en-US"/>
        </w:rPr>
        <w:t>thus</w:t>
      </w:r>
      <w:r w:rsidR="00226C77" w:rsidRPr="00003C03">
        <w:rPr>
          <w:rFonts w:ascii="Arial" w:hAnsi="Arial" w:cs="Arial"/>
          <w:sz w:val="24"/>
          <w:szCs w:val="24"/>
          <w:lang w:val="en-US"/>
        </w:rPr>
        <w:t xml:space="preserve">, the findings may not be </w:t>
      </w:r>
      <w:r w:rsidR="0065408A" w:rsidRPr="00003C03">
        <w:rPr>
          <w:rFonts w:ascii="Arial" w:hAnsi="Arial" w:cs="Arial"/>
          <w:sz w:val="24"/>
          <w:szCs w:val="24"/>
          <w:lang w:val="en-US"/>
        </w:rPr>
        <w:t>generalizable</w:t>
      </w:r>
      <w:r w:rsidR="00226C77" w:rsidRPr="00003C03">
        <w:rPr>
          <w:rFonts w:ascii="Arial" w:hAnsi="Arial" w:cs="Arial"/>
          <w:sz w:val="24"/>
          <w:szCs w:val="24"/>
          <w:lang w:val="en-US"/>
        </w:rPr>
        <w:t xml:space="preserve"> to </w:t>
      </w:r>
      <w:r w:rsidR="002C7C8A" w:rsidRPr="00003C03">
        <w:rPr>
          <w:rFonts w:ascii="Arial" w:hAnsi="Arial" w:cs="Arial"/>
          <w:sz w:val="24"/>
          <w:szCs w:val="24"/>
          <w:lang w:val="en-US"/>
        </w:rPr>
        <w:t>hospitalized,</w:t>
      </w:r>
      <w:r w:rsidR="00226C77" w:rsidRPr="00003C03">
        <w:rPr>
          <w:rFonts w:ascii="Arial" w:hAnsi="Arial" w:cs="Arial"/>
          <w:sz w:val="24"/>
          <w:szCs w:val="24"/>
          <w:lang w:val="en-US"/>
        </w:rPr>
        <w:t xml:space="preserve"> </w:t>
      </w:r>
      <w:r w:rsidR="0065408A" w:rsidRPr="00003C03">
        <w:rPr>
          <w:rFonts w:ascii="Arial" w:hAnsi="Arial" w:cs="Arial"/>
          <w:sz w:val="24"/>
          <w:szCs w:val="24"/>
          <w:lang w:val="en-US"/>
        </w:rPr>
        <w:t>institutionalized</w:t>
      </w:r>
      <w:r w:rsidR="00226C77" w:rsidRPr="00003C03">
        <w:rPr>
          <w:rFonts w:ascii="Arial" w:hAnsi="Arial" w:cs="Arial"/>
          <w:sz w:val="24"/>
          <w:szCs w:val="24"/>
          <w:lang w:val="en-US"/>
        </w:rPr>
        <w:t xml:space="preserve"> or disabled individuals.</w:t>
      </w:r>
      <w:r w:rsidR="007B1EC2" w:rsidRPr="00003C03">
        <w:rPr>
          <w:rFonts w:ascii="Arial" w:hAnsi="Arial" w:cs="Arial"/>
          <w:sz w:val="24"/>
          <w:szCs w:val="24"/>
          <w:lang w:val="en-US"/>
        </w:rPr>
        <w:t xml:space="preserve"> </w:t>
      </w:r>
    </w:p>
    <w:p w14:paraId="2434D7F1" w14:textId="667E5E6E" w:rsidR="00226C77" w:rsidRPr="00003C03" w:rsidRDefault="00226C77" w:rsidP="00830047">
      <w:pPr>
        <w:spacing w:after="0" w:line="480" w:lineRule="auto"/>
        <w:rPr>
          <w:rFonts w:ascii="Arial" w:hAnsi="Arial" w:cs="Arial"/>
          <w:sz w:val="24"/>
          <w:szCs w:val="24"/>
          <w:lang w:val="en-US"/>
        </w:rPr>
      </w:pPr>
    </w:p>
    <w:p w14:paraId="376560C2" w14:textId="22DA8A2C" w:rsidR="007B1EC2" w:rsidRPr="00003C03" w:rsidRDefault="007B1EC2" w:rsidP="00830047">
      <w:pPr>
        <w:spacing w:after="0" w:line="480" w:lineRule="auto"/>
        <w:rPr>
          <w:rFonts w:ascii="Arial" w:hAnsi="Arial" w:cs="Arial"/>
          <w:b/>
          <w:sz w:val="24"/>
          <w:szCs w:val="24"/>
          <w:u w:val="single"/>
          <w:lang w:val="en-US"/>
        </w:rPr>
      </w:pPr>
      <w:r w:rsidRPr="00003C03">
        <w:rPr>
          <w:rFonts w:ascii="Arial" w:hAnsi="Arial" w:cs="Arial"/>
          <w:b/>
          <w:sz w:val="24"/>
          <w:szCs w:val="24"/>
          <w:u w:val="single"/>
          <w:lang w:val="en-US"/>
        </w:rPr>
        <w:t>CONCLUSIONS</w:t>
      </w:r>
    </w:p>
    <w:p w14:paraId="473DCB1E" w14:textId="77777777" w:rsidR="007B1EC2" w:rsidRPr="00003C03" w:rsidRDefault="007B1EC2" w:rsidP="00830047">
      <w:pPr>
        <w:spacing w:after="0" w:line="480" w:lineRule="auto"/>
        <w:rPr>
          <w:rFonts w:ascii="Arial" w:hAnsi="Arial" w:cs="Arial"/>
          <w:sz w:val="24"/>
          <w:szCs w:val="24"/>
          <w:lang w:val="en-US"/>
        </w:rPr>
      </w:pPr>
    </w:p>
    <w:p w14:paraId="206B9F4F" w14:textId="6CE1FFF3" w:rsidR="00B03C86" w:rsidRPr="0065408A" w:rsidRDefault="007B1EC2" w:rsidP="00830047">
      <w:pPr>
        <w:spacing w:after="0" w:line="480" w:lineRule="auto"/>
        <w:rPr>
          <w:rFonts w:ascii="Arial" w:hAnsi="Arial" w:cs="Arial"/>
          <w:sz w:val="24"/>
          <w:szCs w:val="24"/>
          <w:lang w:val="en-US"/>
        </w:rPr>
      </w:pPr>
      <w:r w:rsidRPr="00003C03">
        <w:rPr>
          <w:rFonts w:ascii="Arial" w:hAnsi="Arial" w:cs="Arial"/>
          <w:sz w:val="24"/>
          <w:szCs w:val="24"/>
          <w:lang w:val="en-US"/>
        </w:rPr>
        <w:t xml:space="preserve">This study presents new and much-needed data </w:t>
      </w:r>
      <w:r w:rsidR="002C7C8A" w:rsidRPr="00003C03">
        <w:rPr>
          <w:rFonts w:ascii="Arial" w:hAnsi="Arial" w:cs="Arial"/>
          <w:sz w:val="24"/>
          <w:szCs w:val="24"/>
          <w:lang w:val="en-US"/>
        </w:rPr>
        <w:t xml:space="preserve">that help to better </w:t>
      </w:r>
      <w:r w:rsidR="00F65BE2" w:rsidRPr="00003C03">
        <w:rPr>
          <w:rFonts w:ascii="Arial" w:hAnsi="Arial" w:cs="Arial"/>
          <w:sz w:val="24"/>
          <w:szCs w:val="24"/>
          <w:lang w:val="en-US"/>
        </w:rPr>
        <w:t xml:space="preserve">define </w:t>
      </w:r>
      <w:r w:rsidR="00CE1F15" w:rsidRPr="00003C03">
        <w:rPr>
          <w:rFonts w:ascii="Arial" w:hAnsi="Arial" w:cs="Arial"/>
          <w:sz w:val="24"/>
          <w:szCs w:val="24"/>
          <w:lang w:val="en-US"/>
        </w:rPr>
        <w:t>and</w:t>
      </w:r>
      <w:r w:rsidR="00CE1F15" w:rsidRPr="0065408A">
        <w:rPr>
          <w:rFonts w:ascii="Arial" w:hAnsi="Arial" w:cs="Arial"/>
          <w:sz w:val="24"/>
          <w:szCs w:val="24"/>
          <w:lang w:val="en-US"/>
        </w:rPr>
        <w:t xml:space="preserve"> document </w:t>
      </w:r>
      <w:r w:rsidR="00F65BE2" w:rsidRPr="0065408A">
        <w:rPr>
          <w:rFonts w:ascii="Arial" w:hAnsi="Arial" w:cs="Arial"/>
          <w:sz w:val="24"/>
          <w:szCs w:val="24"/>
          <w:lang w:val="en-US"/>
        </w:rPr>
        <w:t xml:space="preserve">sarcopenic obesity </w:t>
      </w:r>
      <w:r w:rsidRPr="0065408A">
        <w:rPr>
          <w:rFonts w:ascii="Arial" w:hAnsi="Arial" w:cs="Arial"/>
          <w:sz w:val="24"/>
          <w:szCs w:val="24"/>
          <w:lang w:val="en-US"/>
        </w:rPr>
        <w:t xml:space="preserve">across age groups of healthy, community-dwelling </w:t>
      </w:r>
      <w:r w:rsidR="0040774E" w:rsidRPr="0065408A">
        <w:rPr>
          <w:rFonts w:ascii="Arial" w:hAnsi="Arial" w:cs="Arial"/>
          <w:sz w:val="24"/>
          <w:szCs w:val="24"/>
          <w:lang w:val="en-US"/>
        </w:rPr>
        <w:t xml:space="preserve">Asian </w:t>
      </w:r>
      <w:r w:rsidRPr="0065408A">
        <w:rPr>
          <w:rFonts w:ascii="Arial" w:hAnsi="Arial" w:cs="Arial"/>
          <w:sz w:val="24"/>
          <w:szCs w:val="24"/>
          <w:lang w:val="en-US"/>
        </w:rPr>
        <w:t>adult</w:t>
      </w:r>
      <w:r w:rsidR="0040774E" w:rsidRPr="0065408A">
        <w:rPr>
          <w:rFonts w:ascii="Arial" w:hAnsi="Arial" w:cs="Arial"/>
          <w:sz w:val="24"/>
          <w:szCs w:val="24"/>
          <w:lang w:val="en-US"/>
        </w:rPr>
        <w:t>s</w:t>
      </w:r>
      <w:r w:rsidR="00F65BE2" w:rsidRPr="0065408A">
        <w:rPr>
          <w:rFonts w:ascii="Arial" w:hAnsi="Arial" w:cs="Arial"/>
          <w:sz w:val="24"/>
          <w:szCs w:val="24"/>
          <w:lang w:val="en-US"/>
        </w:rPr>
        <w:t xml:space="preserve">. </w:t>
      </w:r>
      <w:r w:rsidR="00B03C86" w:rsidRPr="0065408A">
        <w:rPr>
          <w:rFonts w:ascii="Arial" w:hAnsi="Arial" w:cs="Arial"/>
          <w:sz w:val="24"/>
          <w:szCs w:val="24"/>
          <w:lang w:val="en-US"/>
        </w:rPr>
        <w:t xml:space="preserve">To address the variability in sarcopenic obesity prevalence and conflicting data on its associations with adverse health consequences, a </w:t>
      </w:r>
      <w:r w:rsidR="008A5A98" w:rsidRPr="0065408A">
        <w:rPr>
          <w:rFonts w:ascii="Arial" w:hAnsi="Arial" w:cs="Arial"/>
          <w:sz w:val="24"/>
          <w:szCs w:val="24"/>
          <w:lang w:val="en-US"/>
        </w:rPr>
        <w:t>universally-accepted obesity definition</w:t>
      </w:r>
      <w:r w:rsidR="00B03C86" w:rsidRPr="0065408A">
        <w:rPr>
          <w:rFonts w:ascii="Arial" w:hAnsi="Arial" w:cs="Arial"/>
          <w:sz w:val="24"/>
          <w:szCs w:val="24"/>
          <w:lang w:val="en-US"/>
        </w:rPr>
        <w:t xml:space="preserve"> is of utmost importance. </w:t>
      </w:r>
      <w:r w:rsidR="00345299" w:rsidRPr="0065408A">
        <w:rPr>
          <w:rFonts w:ascii="Arial" w:hAnsi="Arial" w:cs="Arial"/>
          <w:sz w:val="24"/>
          <w:szCs w:val="24"/>
          <w:lang w:val="en-US"/>
        </w:rPr>
        <w:t>Our findings suggest</w:t>
      </w:r>
      <w:r w:rsidR="00B03C86" w:rsidRPr="0065408A">
        <w:rPr>
          <w:rFonts w:ascii="Arial" w:hAnsi="Arial" w:cs="Arial"/>
          <w:sz w:val="24"/>
          <w:szCs w:val="24"/>
          <w:lang w:val="en-US"/>
        </w:rPr>
        <w:t xml:space="preserve"> that </w:t>
      </w:r>
      <w:r w:rsidR="00C0067E" w:rsidRPr="0065408A">
        <w:rPr>
          <w:rFonts w:ascii="Arial" w:hAnsi="Arial" w:cs="Arial"/>
          <w:sz w:val="24"/>
          <w:szCs w:val="24"/>
          <w:lang w:val="en-US"/>
        </w:rPr>
        <w:t>FMI</w:t>
      </w:r>
      <w:r w:rsidR="00B03C86" w:rsidRPr="0065408A">
        <w:rPr>
          <w:rFonts w:ascii="Arial" w:hAnsi="Arial" w:cs="Arial"/>
          <w:sz w:val="24"/>
          <w:szCs w:val="24"/>
          <w:lang w:val="en-US"/>
        </w:rPr>
        <w:t xml:space="preserve"> is the most preferred method for </w:t>
      </w:r>
      <w:r w:rsidR="00F65BE2" w:rsidRPr="0065408A">
        <w:rPr>
          <w:rFonts w:ascii="Arial" w:hAnsi="Arial" w:cs="Arial"/>
          <w:sz w:val="24"/>
          <w:szCs w:val="24"/>
          <w:lang w:val="en-US"/>
        </w:rPr>
        <w:t xml:space="preserve">measuring </w:t>
      </w:r>
      <w:proofErr w:type="gramStart"/>
      <w:r w:rsidR="00F65BE2" w:rsidRPr="0065408A">
        <w:rPr>
          <w:rFonts w:ascii="Arial" w:hAnsi="Arial" w:cs="Arial"/>
          <w:sz w:val="24"/>
          <w:szCs w:val="24"/>
          <w:lang w:val="en-US"/>
        </w:rPr>
        <w:t>o</w:t>
      </w:r>
      <w:r w:rsidR="00B03C86" w:rsidRPr="0065408A">
        <w:rPr>
          <w:rFonts w:ascii="Arial" w:hAnsi="Arial" w:cs="Arial"/>
          <w:sz w:val="24"/>
          <w:szCs w:val="24"/>
          <w:lang w:val="en-US"/>
        </w:rPr>
        <w:t>besity</w:t>
      </w:r>
      <w:r w:rsidR="00F65BE2" w:rsidRPr="0065408A">
        <w:rPr>
          <w:rFonts w:ascii="Arial" w:hAnsi="Arial" w:cs="Arial"/>
          <w:sz w:val="24"/>
          <w:szCs w:val="24"/>
          <w:lang w:val="en-US"/>
        </w:rPr>
        <w:t>,</w:t>
      </w:r>
      <w:r w:rsidR="008A5A98" w:rsidRPr="0065408A">
        <w:rPr>
          <w:rFonts w:ascii="Arial" w:hAnsi="Arial" w:cs="Arial"/>
          <w:sz w:val="24"/>
          <w:szCs w:val="24"/>
          <w:lang w:val="en-US"/>
        </w:rPr>
        <w:t xml:space="preserve"> and</w:t>
      </w:r>
      <w:proofErr w:type="gramEnd"/>
      <w:r w:rsidR="008A5A98" w:rsidRPr="0065408A">
        <w:rPr>
          <w:rFonts w:ascii="Arial" w:hAnsi="Arial" w:cs="Arial"/>
          <w:sz w:val="24"/>
          <w:szCs w:val="24"/>
          <w:lang w:val="en-US"/>
        </w:rPr>
        <w:t xml:space="preserve"> support its use as a diagnostic</w:t>
      </w:r>
      <w:r w:rsidR="00A928C8" w:rsidRPr="0065408A">
        <w:rPr>
          <w:rFonts w:ascii="Arial" w:hAnsi="Arial" w:cs="Arial"/>
          <w:sz w:val="24"/>
          <w:szCs w:val="24"/>
          <w:lang w:val="en-US"/>
        </w:rPr>
        <w:t xml:space="preserve"> </w:t>
      </w:r>
      <w:r w:rsidR="008A5A98" w:rsidRPr="0065408A">
        <w:rPr>
          <w:rFonts w:ascii="Arial" w:hAnsi="Arial" w:cs="Arial"/>
          <w:sz w:val="24"/>
          <w:szCs w:val="24"/>
          <w:lang w:val="en-US"/>
        </w:rPr>
        <w:t xml:space="preserve">criteria </w:t>
      </w:r>
      <w:r w:rsidR="00F65BE2" w:rsidRPr="0065408A">
        <w:rPr>
          <w:rFonts w:ascii="Arial" w:hAnsi="Arial" w:cs="Arial"/>
          <w:sz w:val="24"/>
          <w:szCs w:val="24"/>
          <w:lang w:val="en-US"/>
        </w:rPr>
        <w:t>for</w:t>
      </w:r>
      <w:r w:rsidR="00B03C86" w:rsidRPr="0065408A">
        <w:rPr>
          <w:rFonts w:ascii="Arial" w:hAnsi="Arial" w:cs="Arial"/>
          <w:sz w:val="24"/>
          <w:szCs w:val="24"/>
          <w:lang w:val="en-US"/>
        </w:rPr>
        <w:t xml:space="preserve"> sarcopenic obesity</w:t>
      </w:r>
      <w:r w:rsidR="008A5A98" w:rsidRPr="0065408A">
        <w:rPr>
          <w:rFonts w:ascii="Arial" w:hAnsi="Arial" w:cs="Arial"/>
          <w:sz w:val="24"/>
          <w:szCs w:val="24"/>
          <w:lang w:val="en-US"/>
        </w:rPr>
        <w:t>.</w:t>
      </w:r>
    </w:p>
    <w:p w14:paraId="3524F80D" w14:textId="77777777" w:rsidR="00797C1D" w:rsidRPr="0065408A" w:rsidRDefault="00797C1D" w:rsidP="00830047">
      <w:pPr>
        <w:spacing w:after="0" w:line="480" w:lineRule="auto"/>
        <w:rPr>
          <w:rFonts w:ascii="Arial" w:hAnsi="Arial" w:cs="Arial"/>
          <w:sz w:val="24"/>
          <w:szCs w:val="24"/>
          <w:lang w:val="en-US"/>
        </w:rPr>
      </w:pPr>
    </w:p>
    <w:p w14:paraId="136D2918" w14:textId="77777777" w:rsidR="001534F6" w:rsidRPr="0065408A" w:rsidRDefault="001534F6" w:rsidP="00830047">
      <w:pPr>
        <w:spacing w:after="0" w:line="480" w:lineRule="auto"/>
        <w:rPr>
          <w:rFonts w:ascii="Arial" w:hAnsi="Arial" w:cs="Arial"/>
          <w:b/>
          <w:sz w:val="24"/>
          <w:szCs w:val="24"/>
          <w:u w:val="single"/>
          <w:lang w:val="en-US"/>
        </w:rPr>
      </w:pPr>
      <w:r w:rsidRPr="0065408A">
        <w:rPr>
          <w:rFonts w:ascii="Arial" w:hAnsi="Arial" w:cs="Arial"/>
          <w:b/>
          <w:sz w:val="24"/>
          <w:szCs w:val="24"/>
          <w:u w:val="single"/>
          <w:lang w:val="en-US"/>
        </w:rPr>
        <w:t>DISCLOSURE STATEMENT</w:t>
      </w:r>
    </w:p>
    <w:p w14:paraId="5DCE364A" w14:textId="77777777" w:rsidR="001534F6" w:rsidRPr="0065408A" w:rsidRDefault="001534F6" w:rsidP="00830047">
      <w:pPr>
        <w:spacing w:after="0" w:line="480" w:lineRule="auto"/>
        <w:rPr>
          <w:rFonts w:ascii="Arial" w:hAnsi="Arial" w:cs="Arial"/>
          <w:sz w:val="24"/>
          <w:szCs w:val="24"/>
          <w:lang w:val="en-US"/>
        </w:rPr>
      </w:pPr>
    </w:p>
    <w:p w14:paraId="4B05940B" w14:textId="77777777" w:rsidR="001534F6" w:rsidRPr="0065408A" w:rsidRDefault="001534F6" w:rsidP="00830047">
      <w:pPr>
        <w:spacing w:after="0" w:line="480" w:lineRule="auto"/>
        <w:rPr>
          <w:rFonts w:ascii="Arial" w:hAnsi="Arial" w:cs="Arial"/>
          <w:sz w:val="24"/>
          <w:szCs w:val="24"/>
          <w:lang w:val="en-US"/>
        </w:rPr>
      </w:pPr>
      <w:r w:rsidRPr="0065408A">
        <w:rPr>
          <w:rFonts w:ascii="Arial" w:hAnsi="Arial" w:cs="Arial"/>
          <w:sz w:val="24"/>
          <w:szCs w:val="24"/>
          <w:lang w:val="en-US"/>
        </w:rPr>
        <w:t xml:space="preserve">The authors declare no conflict of interest. </w:t>
      </w:r>
    </w:p>
    <w:p w14:paraId="6D0B73D2" w14:textId="77777777" w:rsidR="001534F6" w:rsidRPr="0065408A" w:rsidRDefault="001534F6" w:rsidP="00830047">
      <w:pPr>
        <w:rPr>
          <w:rFonts w:ascii="Arial" w:hAnsi="Arial" w:cs="Arial"/>
          <w:b/>
          <w:sz w:val="24"/>
          <w:szCs w:val="24"/>
          <w:u w:val="single"/>
          <w:lang w:val="en-US"/>
        </w:rPr>
      </w:pPr>
      <w:r w:rsidRPr="0065408A">
        <w:rPr>
          <w:rFonts w:ascii="Arial" w:hAnsi="Arial" w:cs="Arial"/>
          <w:b/>
          <w:sz w:val="24"/>
          <w:szCs w:val="24"/>
          <w:u w:val="single"/>
          <w:lang w:val="en-US"/>
        </w:rPr>
        <w:br w:type="page"/>
      </w:r>
    </w:p>
    <w:p w14:paraId="169193D3" w14:textId="474CEC20" w:rsidR="00797C1D" w:rsidRPr="0065408A" w:rsidRDefault="00797C1D" w:rsidP="00830047">
      <w:pPr>
        <w:spacing w:after="0" w:line="480" w:lineRule="auto"/>
        <w:rPr>
          <w:rFonts w:ascii="Arial" w:hAnsi="Arial" w:cs="Arial"/>
          <w:b/>
          <w:sz w:val="24"/>
          <w:szCs w:val="24"/>
          <w:u w:val="single"/>
          <w:lang w:val="en-US"/>
        </w:rPr>
      </w:pPr>
      <w:r w:rsidRPr="0065408A">
        <w:rPr>
          <w:rFonts w:ascii="Arial" w:hAnsi="Arial" w:cs="Arial"/>
          <w:b/>
          <w:sz w:val="24"/>
          <w:szCs w:val="24"/>
          <w:u w:val="single"/>
          <w:lang w:val="en-US"/>
        </w:rPr>
        <w:lastRenderedPageBreak/>
        <w:t>ACKNOWLEDGEMENTS</w:t>
      </w:r>
    </w:p>
    <w:p w14:paraId="4B53C239" w14:textId="77777777" w:rsidR="004606FD" w:rsidRPr="0065408A" w:rsidRDefault="004606FD" w:rsidP="00830047">
      <w:pPr>
        <w:spacing w:after="0" w:line="480" w:lineRule="auto"/>
        <w:rPr>
          <w:rFonts w:ascii="Arial" w:hAnsi="Arial" w:cs="Arial"/>
          <w:b/>
          <w:sz w:val="24"/>
          <w:szCs w:val="24"/>
          <w:u w:val="single"/>
          <w:lang w:val="en-US"/>
        </w:rPr>
      </w:pPr>
    </w:p>
    <w:p w14:paraId="5E4CD9A7" w14:textId="7EB2E82D" w:rsidR="00730A43" w:rsidRPr="00CC1194" w:rsidRDefault="004606FD" w:rsidP="00CC1194">
      <w:pPr>
        <w:spacing w:after="0" w:line="480" w:lineRule="auto"/>
        <w:jc w:val="both"/>
        <w:rPr>
          <w:rFonts w:ascii="Arial" w:eastAsiaTheme="majorEastAsia" w:hAnsi="Arial" w:cs="Arial"/>
          <w:iCs/>
          <w:sz w:val="24"/>
          <w:szCs w:val="24"/>
        </w:rPr>
      </w:pPr>
      <w:r w:rsidRPr="00CC1194">
        <w:rPr>
          <w:rFonts w:ascii="Arial" w:eastAsiaTheme="majorEastAsia" w:hAnsi="Arial" w:cs="Arial"/>
          <w:sz w:val="24"/>
          <w:szCs w:val="24"/>
          <w:lang w:val="en-US"/>
        </w:rPr>
        <w:t xml:space="preserve">This research was supported as part of a core funding from the Ministry of Health of Singapore to GERI. </w:t>
      </w:r>
      <w:r w:rsidR="00CC1194" w:rsidRPr="00CC1194">
        <w:rPr>
          <w:rFonts w:ascii="Arial" w:eastAsia="DengXian Light" w:hAnsi="Arial" w:cs="Arial"/>
          <w:sz w:val="24"/>
          <w:szCs w:val="24"/>
        </w:rPr>
        <w:t xml:space="preserve">The authors gratefully acknowledge the strong support of Prof. Pang Weng Sun in making this Yishun Study possible, and the support of </w:t>
      </w:r>
      <w:proofErr w:type="spellStart"/>
      <w:r w:rsidR="00CC1194" w:rsidRPr="00CC1194">
        <w:rPr>
          <w:rFonts w:ascii="Arial" w:eastAsia="DengXian Light" w:hAnsi="Arial" w:cs="Arial"/>
          <w:sz w:val="24"/>
          <w:szCs w:val="24"/>
        </w:rPr>
        <w:t>Dr.</w:t>
      </w:r>
      <w:proofErr w:type="spellEnd"/>
      <w:r w:rsidR="00CC1194" w:rsidRPr="00CC1194">
        <w:rPr>
          <w:rFonts w:ascii="Arial" w:eastAsia="DengXian Light" w:hAnsi="Arial" w:cs="Arial"/>
          <w:sz w:val="24"/>
          <w:szCs w:val="24"/>
        </w:rPr>
        <w:t xml:space="preserve"> Lilian </w:t>
      </w:r>
      <w:proofErr w:type="spellStart"/>
      <w:r w:rsidR="00CC1194" w:rsidRPr="00CC1194">
        <w:rPr>
          <w:rFonts w:ascii="Arial" w:eastAsia="DengXian Light" w:hAnsi="Arial" w:cs="Arial"/>
          <w:sz w:val="24"/>
          <w:szCs w:val="24"/>
        </w:rPr>
        <w:t>Chye</w:t>
      </w:r>
      <w:proofErr w:type="spellEnd"/>
      <w:r w:rsidR="00CC1194" w:rsidRPr="00CC1194">
        <w:rPr>
          <w:rFonts w:ascii="Arial" w:eastAsia="DengXian Light" w:hAnsi="Arial" w:cs="Arial"/>
          <w:sz w:val="24"/>
          <w:szCs w:val="24"/>
        </w:rPr>
        <w:t xml:space="preserve">, </w:t>
      </w:r>
      <w:r w:rsidR="00CC1194" w:rsidRPr="00CC1194">
        <w:rPr>
          <w:rFonts w:ascii="Arial" w:hAnsi="Arial" w:cs="Arial"/>
          <w:sz w:val="24"/>
          <w:szCs w:val="24"/>
        </w:rPr>
        <w:t xml:space="preserve">Sylvia </w:t>
      </w:r>
      <w:proofErr w:type="spellStart"/>
      <w:r w:rsidR="00CC1194" w:rsidRPr="00CC1194">
        <w:rPr>
          <w:rFonts w:ascii="Arial" w:hAnsi="Arial" w:cs="Arial"/>
          <w:sz w:val="24"/>
          <w:szCs w:val="24"/>
        </w:rPr>
        <w:t>Ngu</w:t>
      </w:r>
      <w:proofErr w:type="spellEnd"/>
      <w:r w:rsidR="00CC1194" w:rsidRPr="00CC1194">
        <w:rPr>
          <w:rFonts w:ascii="Arial" w:hAnsi="Arial" w:cs="Arial"/>
          <w:sz w:val="24"/>
          <w:szCs w:val="24"/>
        </w:rPr>
        <w:t xml:space="preserve"> Siew Ching, </w:t>
      </w:r>
      <w:proofErr w:type="spellStart"/>
      <w:r w:rsidR="00CC1194" w:rsidRPr="00CC1194">
        <w:rPr>
          <w:rFonts w:ascii="Arial" w:hAnsi="Arial" w:cs="Arial"/>
          <w:sz w:val="24"/>
          <w:szCs w:val="24"/>
        </w:rPr>
        <w:t>Aizuriah</w:t>
      </w:r>
      <w:proofErr w:type="spellEnd"/>
      <w:r w:rsidR="00CC1194" w:rsidRPr="00CC1194">
        <w:rPr>
          <w:rFonts w:ascii="Arial" w:hAnsi="Arial" w:cs="Arial"/>
          <w:sz w:val="24"/>
          <w:szCs w:val="24"/>
        </w:rPr>
        <w:t xml:space="preserve"> Mohamed Ali, Mary Ng Pei Ern, Chua Xing Ying and </w:t>
      </w:r>
      <w:proofErr w:type="spellStart"/>
      <w:r w:rsidR="00CC1194" w:rsidRPr="00CC1194">
        <w:rPr>
          <w:rFonts w:ascii="Arial" w:hAnsi="Arial" w:cs="Arial"/>
          <w:sz w:val="24"/>
          <w:szCs w:val="24"/>
        </w:rPr>
        <w:t>Shermaine</w:t>
      </w:r>
      <w:proofErr w:type="spellEnd"/>
      <w:r w:rsidR="00CC1194" w:rsidRPr="00CC1194">
        <w:rPr>
          <w:rFonts w:ascii="Arial" w:hAnsi="Arial" w:cs="Arial"/>
          <w:sz w:val="24"/>
          <w:szCs w:val="24"/>
        </w:rPr>
        <w:t xml:space="preserve"> Thein </w:t>
      </w:r>
      <w:r w:rsidR="00CC1194" w:rsidRPr="00CC1194">
        <w:rPr>
          <w:rFonts w:ascii="Arial" w:eastAsia="DengXian Light" w:hAnsi="Arial" w:cs="Arial"/>
          <w:sz w:val="24"/>
          <w:szCs w:val="24"/>
        </w:rPr>
        <w:t xml:space="preserve">in this study. </w:t>
      </w:r>
    </w:p>
    <w:p w14:paraId="47740DF4" w14:textId="77777777" w:rsidR="00730A43" w:rsidRPr="00CC1194" w:rsidRDefault="00730A43" w:rsidP="00830047">
      <w:pPr>
        <w:spacing w:after="120" w:line="480" w:lineRule="auto"/>
        <w:rPr>
          <w:rFonts w:ascii="Arial" w:eastAsiaTheme="majorEastAsia" w:hAnsi="Arial" w:cs="Arial"/>
          <w:sz w:val="24"/>
          <w:szCs w:val="24"/>
          <w:lang w:val="en-US"/>
        </w:rPr>
      </w:pPr>
    </w:p>
    <w:p w14:paraId="677A09F6" w14:textId="5A37390D" w:rsidR="004606FD" w:rsidRPr="0065408A" w:rsidRDefault="004606FD" w:rsidP="00830047">
      <w:pPr>
        <w:spacing w:after="120" w:line="480" w:lineRule="auto"/>
        <w:rPr>
          <w:rFonts w:ascii="Arial" w:eastAsia="Times New Roman" w:hAnsi="Arial" w:cs="Arial"/>
          <w:sz w:val="24"/>
          <w:szCs w:val="24"/>
          <w:lang w:val="en-US"/>
        </w:rPr>
      </w:pPr>
      <w:r w:rsidRPr="00CC1194">
        <w:rPr>
          <w:rFonts w:ascii="Arial" w:eastAsia="Times New Roman" w:hAnsi="Arial" w:cs="Arial"/>
          <w:sz w:val="24"/>
          <w:szCs w:val="24"/>
          <w:lang w:val="en-US"/>
        </w:rPr>
        <w:t>BWJP, SLW, MUJ, TPN contributed to the research design. BWJP, LKL, KAJ, WTS</w:t>
      </w:r>
      <w:r w:rsidR="00D65E10" w:rsidRPr="00CC1194">
        <w:rPr>
          <w:rFonts w:ascii="Arial" w:eastAsia="Times New Roman" w:hAnsi="Arial" w:cs="Arial"/>
          <w:sz w:val="24"/>
          <w:szCs w:val="24"/>
          <w:lang w:val="en-US"/>
        </w:rPr>
        <w:t xml:space="preserve">, DHMN, QLLT, KKC </w:t>
      </w:r>
      <w:r w:rsidRPr="00CC1194">
        <w:rPr>
          <w:rFonts w:ascii="Arial" w:eastAsia="Times New Roman" w:hAnsi="Arial" w:cs="Arial"/>
          <w:sz w:val="24"/>
          <w:szCs w:val="24"/>
          <w:lang w:val="en-US"/>
        </w:rPr>
        <w:t>conducted the research. BWJP, LKL, KAJ, WTS, DHMN, QLLT,</w:t>
      </w:r>
      <w:r w:rsidRPr="0065408A">
        <w:rPr>
          <w:rFonts w:ascii="Arial" w:eastAsia="Times New Roman" w:hAnsi="Arial" w:cs="Arial"/>
          <w:sz w:val="24"/>
          <w:szCs w:val="24"/>
          <w:lang w:val="en-US"/>
        </w:rPr>
        <w:t xml:space="preserve"> </w:t>
      </w:r>
      <w:r w:rsidR="00D65E10" w:rsidRPr="0065408A">
        <w:rPr>
          <w:rFonts w:ascii="Arial" w:eastAsia="Times New Roman" w:hAnsi="Arial" w:cs="Arial"/>
          <w:sz w:val="24"/>
          <w:szCs w:val="24"/>
          <w:lang w:val="en-US"/>
        </w:rPr>
        <w:t>KKC</w:t>
      </w:r>
      <w:r w:rsidR="00730A43" w:rsidRPr="0065408A">
        <w:rPr>
          <w:rFonts w:ascii="Arial" w:eastAsia="Times New Roman" w:hAnsi="Arial" w:cs="Arial"/>
          <w:sz w:val="24"/>
          <w:szCs w:val="24"/>
          <w:lang w:val="en-US"/>
        </w:rPr>
        <w:t xml:space="preserve"> analyzed data and performed statistical analysis. BWJP, SLW, TPN</w:t>
      </w:r>
      <w:r w:rsidR="002A40A1" w:rsidRPr="0065408A">
        <w:rPr>
          <w:rFonts w:ascii="Arial" w:eastAsia="Times New Roman" w:hAnsi="Arial" w:cs="Arial"/>
          <w:sz w:val="24"/>
          <w:szCs w:val="24"/>
          <w:lang w:val="en-US"/>
        </w:rPr>
        <w:t xml:space="preserve"> </w:t>
      </w:r>
      <w:r w:rsidR="00730A43" w:rsidRPr="0065408A">
        <w:rPr>
          <w:rFonts w:ascii="Arial" w:eastAsia="Times New Roman" w:hAnsi="Arial" w:cs="Arial"/>
          <w:sz w:val="24"/>
          <w:szCs w:val="24"/>
          <w:lang w:val="en-US"/>
        </w:rPr>
        <w:t>wrote the paper. BWJP, SLW, TPN had primary responsibility for final content.</w:t>
      </w:r>
      <w:r w:rsidR="006954FC" w:rsidRPr="0065408A">
        <w:rPr>
          <w:rFonts w:ascii="Arial" w:eastAsia="Times New Roman" w:hAnsi="Arial" w:cs="Arial"/>
          <w:sz w:val="24"/>
          <w:szCs w:val="24"/>
          <w:lang w:val="en-US"/>
        </w:rPr>
        <w:t xml:space="preserve"> All authors have read and approved the final version.</w:t>
      </w:r>
    </w:p>
    <w:p w14:paraId="411C694E" w14:textId="541E5AA5" w:rsidR="00D714C2" w:rsidRDefault="00D714C2">
      <w:pPr>
        <w:rPr>
          <w:rFonts w:ascii="Arial" w:hAnsi="Arial" w:cs="Arial"/>
          <w:sz w:val="24"/>
          <w:szCs w:val="24"/>
          <w:lang w:val="en-US"/>
        </w:rPr>
      </w:pPr>
      <w:r>
        <w:rPr>
          <w:rFonts w:ascii="Arial" w:hAnsi="Arial" w:cs="Arial"/>
          <w:sz w:val="24"/>
          <w:szCs w:val="24"/>
          <w:lang w:val="en-US"/>
        </w:rPr>
        <w:br w:type="page"/>
      </w:r>
    </w:p>
    <w:p w14:paraId="67DC2A5C" w14:textId="77777777" w:rsidR="00D714C2" w:rsidRPr="00514EEC" w:rsidRDefault="00D714C2" w:rsidP="00D714C2">
      <w:pPr>
        <w:spacing w:after="0" w:line="480" w:lineRule="auto"/>
        <w:rPr>
          <w:rStyle w:val="selectable"/>
          <w:rFonts w:ascii="Arial" w:hAnsi="Arial" w:cs="Arial"/>
          <w:sz w:val="24"/>
          <w:szCs w:val="24"/>
          <w:lang w:val="en-US"/>
        </w:rPr>
      </w:pPr>
      <w:r w:rsidRPr="00514EEC">
        <w:rPr>
          <w:rFonts w:ascii="Arial" w:hAnsi="Arial" w:cs="Arial"/>
          <w:b/>
          <w:sz w:val="24"/>
          <w:szCs w:val="24"/>
          <w:u w:val="single"/>
          <w:lang w:val="en-US"/>
        </w:rPr>
        <w:lastRenderedPageBreak/>
        <w:t>REFERENCES</w:t>
      </w:r>
    </w:p>
    <w:p w14:paraId="0451FA78" w14:textId="77777777" w:rsidR="00D714C2" w:rsidRPr="00514EEC" w:rsidRDefault="00D714C2" w:rsidP="00D714C2">
      <w:pPr>
        <w:pStyle w:val="ListParagraph"/>
        <w:spacing w:after="0" w:line="480" w:lineRule="auto"/>
        <w:ind w:left="357"/>
        <w:rPr>
          <w:rStyle w:val="selectable"/>
          <w:rFonts w:ascii="Arial" w:hAnsi="Arial" w:cs="Arial"/>
          <w:sz w:val="24"/>
          <w:szCs w:val="24"/>
          <w:lang w:val="en-US"/>
        </w:rPr>
      </w:pPr>
    </w:p>
    <w:p w14:paraId="58028869" w14:textId="77777777" w:rsidR="00D714C2" w:rsidRPr="00514EEC" w:rsidRDefault="00D714C2" w:rsidP="00D714C2">
      <w:pPr>
        <w:pStyle w:val="ListParagraph"/>
        <w:numPr>
          <w:ilvl w:val="0"/>
          <w:numId w:val="11"/>
        </w:numPr>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United Nations, Department of Economic and Social Affairs, Population Division. World Population Prospects 2019: Highlights. New York: United Nations. 2019.</w:t>
      </w:r>
    </w:p>
    <w:p w14:paraId="74381489" w14:textId="77777777" w:rsidR="00D714C2" w:rsidRPr="00514EEC" w:rsidRDefault="00D714C2" w:rsidP="00D714C2">
      <w:pPr>
        <w:pStyle w:val="ListParagraph"/>
        <w:numPr>
          <w:ilvl w:val="0"/>
          <w:numId w:val="11"/>
        </w:numPr>
        <w:spacing w:after="0" w:line="480" w:lineRule="auto"/>
        <w:rPr>
          <w:rStyle w:val="selectable"/>
          <w:rFonts w:ascii="Arial" w:hAnsi="Arial" w:cs="Arial"/>
          <w:sz w:val="24"/>
          <w:szCs w:val="24"/>
          <w:lang w:val="en-US"/>
        </w:rPr>
      </w:pPr>
      <w:r w:rsidRPr="00514EEC">
        <w:rPr>
          <w:rStyle w:val="selectable"/>
          <w:rFonts w:ascii="Arial" w:hAnsi="Arial" w:cs="Arial"/>
          <w:sz w:val="24"/>
          <w:szCs w:val="24"/>
          <w:lang w:val="en-US"/>
        </w:rPr>
        <w:t xml:space="preserve">Chen L, Woo J, </w:t>
      </w:r>
      <w:proofErr w:type="spellStart"/>
      <w:r w:rsidRPr="00514EEC">
        <w:rPr>
          <w:rStyle w:val="selectable"/>
          <w:rFonts w:ascii="Arial" w:hAnsi="Arial" w:cs="Arial"/>
          <w:sz w:val="24"/>
          <w:szCs w:val="24"/>
          <w:lang w:val="en-US"/>
        </w:rPr>
        <w:t>Assantachai</w:t>
      </w:r>
      <w:proofErr w:type="spellEnd"/>
      <w:r w:rsidRPr="00514EEC">
        <w:rPr>
          <w:rStyle w:val="selectable"/>
          <w:rFonts w:ascii="Arial" w:hAnsi="Arial" w:cs="Arial"/>
          <w:sz w:val="24"/>
          <w:szCs w:val="24"/>
          <w:lang w:val="en-US"/>
        </w:rPr>
        <w:t xml:space="preserve"> P, Auyeung T, Chou M, </w:t>
      </w:r>
      <w:proofErr w:type="spellStart"/>
      <w:r w:rsidRPr="00514EEC">
        <w:rPr>
          <w:rStyle w:val="selectable"/>
          <w:rFonts w:ascii="Arial" w:hAnsi="Arial" w:cs="Arial"/>
          <w:sz w:val="24"/>
          <w:szCs w:val="24"/>
          <w:lang w:val="en-US"/>
        </w:rPr>
        <w:t>Iijima</w:t>
      </w:r>
      <w:proofErr w:type="spellEnd"/>
      <w:r w:rsidRPr="00514EEC">
        <w:rPr>
          <w:rStyle w:val="selectable"/>
          <w:rFonts w:ascii="Arial" w:hAnsi="Arial" w:cs="Arial"/>
          <w:sz w:val="24"/>
          <w:szCs w:val="24"/>
          <w:lang w:val="en-US"/>
        </w:rPr>
        <w:t xml:space="preserve"> K, Jang H, Kang L, Kim M, Kim S et al. Asian Working Group for Sarcopenia: 2019 Consensus Update on Sarcopenia Diagnosis and Treatment. Journal of the American Medical Directors Association. 2020;21(3):300-307.e2. https://doi.org/10.1016/j.jamda.2019.12.012.</w:t>
      </w:r>
    </w:p>
    <w:p w14:paraId="2678B74B"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proofErr w:type="spellStart"/>
      <w:r w:rsidRPr="00514EEC">
        <w:rPr>
          <w:rStyle w:val="selectable"/>
          <w:rFonts w:ascii="Arial" w:hAnsi="Arial" w:cs="Arial"/>
          <w:sz w:val="24"/>
          <w:szCs w:val="24"/>
          <w:lang w:val="en-US"/>
        </w:rPr>
        <w:t>Kalinkovich</w:t>
      </w:r>
      <w:proofErr w:type="spellEnd"/>
      <w:r w:rsidRPr="00514EEC">
        <w:rPr>
          <w:rStyle w:val="selectable"/>
          <w:rFonts w:ascii="Arial" w:hAnsi="Arial" w:cs="Arial"/>
          <w:sz w:val="24"/>
          <w:szCs w:val="24"/>
          <w:lang w:val="en-US"/>
        </w:rPr>
        <w:t xml:space="preserve"> A, </w:t>
      </w:r>
      <w:proofErr w:type="spellStart"/>
      <w:r w:rsidRPr="00514EEC">
        <w:rPr>
          <w:rStyle w:val="selectable"/>
          <w:rFonts w:ascii="Arial" w:hAnsi="Arial" w:cs="Arial"/>
          <w:sz w:val="24"/>
          <w:szCs w:val="24"/>
          <w:lang w:val="en-US"/>
        </w:rPr>
        <w:t>Livshits</w:t>
      </w:r>
      <w:proofErr w:type="spellEnd"/>
      <w:r w:rsidRPr="00514EEC">
        <w:rPr>
          <w:rStyle w:val="selectable"/>
          <w:rFonts w:ascii="Arial" w:hAnsi="Arial" w:cs="Arial"/>
          <w:sz w:val="24"/>
          <w:szCs w:val="24"/>
          <w:lang w:val="en-US"/>
        </w:rPr>
        <w:t xml:space="preserve"> G. Sarcopenic obesity or obese sarcopenia: A cross talk between age-associated adipose tissue and skeletal muscle inflammation as a main mechanism of the pathogenesis. Ageing Research Reviews. </w:t>
      </w:r>
      <w:proofErr w:type="gramStart"/>
      <w:r w:rsidRPr="00514EEC">
        <w:rPr>
          <w:rStyle w:val="selectable"/>
          <w:rFonts w:ascii="Arial" w:hAnsi="Arial" w:cs="Arial"/>
          <w:sz w:val="24"/>
          <w:szCs w:val="24"/>
          <w:lang w:val="en-US"/>
        </w:rPr>
        <w:t>2017;35:200</w:t>
      </w:r>
      <w:proofErr w:type="gramEnd"/>
      <w:r w:rsidRPr="00514EEC">
        <w:rPr>
          <w:rStyle w:val="selectable"/>
          <w:rFonts w:ascii="Arial" w:hAnsi="Arial" w:cs="Arial"/>
          <w:sz w:val="24"/>
          <w:szCs w:val="24"/>
          <w:lang w:val="en-US"/>
        </w:rPr>
        <w:t xml:space="preserve">-221. </w:t>
      </w:r>
      <w:r w:rsidRPr="00514EEC">
        <w:rPr>
          <w:rFonts w:ascii="Arial" w:hAnsi="Arial" w:cs="Arial"/>
          <w:sz w:val="24"/>
          <w:szCs w:val="24"/>
          <w:lang w:val="en-US"/>
        </w:rPr>
        <w:t>https://doi.org/10.1016/j.arr.2016.09.008.</w:t>
      </w:r>
    </w:p>
    <w:p w14:paraId="001C84E7"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 xml:space="preserve">Kim T, Yang S, </w:t>
      </w:r>
      <w:proofErr w:type="spellStart"/>
      <w:r w:rsidRPr="00514EEC">
        <w:rPr>
          <w:rStyle w:val="selectable"/>
          <w:rFonts w:ascii="Arial" w:hAnsi="Arial" w:cs="Arial"/>
          <w:sz w:val="24"/>
          <w:szCs w:val="24"/>
          <w:lang w:val="en-US"/>
        </w:rPr>
        <w:t>Yoo</w:t>
      </w:r>
      <w:proofErr w:type="spellEnd"/>
      <w:r w:rsidRPr="00514EEC">
        <w:rPr>
          <w:rStyle w:val="selectable"/>
          <w:rFonts w:ascii="Arial" w:hAnsi="Arial" w:cs="Arial"/>
          <w:sz w:val="24"/>
          <w:szCs w:val="24"/>
          <w:lang w:val="en-US"/>
        </w:rPr>
        <w:t xml:space="preserve"> H, Lim K, Kang H, Song W, </w:t>
      </w:r>
      <w:proofErr w:type="spellStart"/>
      <w:r w:rsidRPr="00514EEC">
        <w:rPr>
          <w:rStyle w:val="selectable"/>
          <w:rFonts w:ascii="Arial" w:hAnsi="Arial" w:cs="Arial"/>
          <w:sz w:val="24"/>
          <w:szCs w:val="24"/>
          <w:lang w:val="en-US"/>
        </w:rPr>
        <w:t>Seo</w:t>
      </w:r>
      <w:proofErr w:type="spellEnd"/>
      <w:r w:rsidRPr="00514EEC">
        <w:rPr>
          <w:rStyle w:val="selectable"/>
          <w:rFonts w:ascii="Arial" w:hAnsi="Arial" w:cs="Arial"/>
          <w:sz w:val="24"/>
          <w:szCs w:val="24"/>
          <w:lang w:val="en-US"/>
        </w:rPr>
        <w:t xml:space="preserve"> J, Kim S, Kim N, </w:t>
      </w:r>
      <w:proofErr w:type="spellStart"/>
      <w:r w:rsidRPr="00514EEC">
        <w:rPr>
          <w:rStyle w:val="selectable"/>
          <w:rFonts w:ascii="Arial" w:hAnsi="Arial" w:cs="Arial"/>
          <w:sz w:val="24"/>
          <w:szCs w:val="24"/>
          <w:lang w:val="en-US"/>
        </w:rPr>
        <w:t>Baik</w:t>
      </w:r>
      <w:proofErr w:type="spellEnd"/>
      <w:r w:rsidRPr="00514EEC">
        <w:rPr>
          <w:rStyle w:val="selectable"/>
          <w:rFonts w:ascii="Arial" w:hAnsi="Arial" w:cs="Arial"/>
          <w:sz w:val="24"/>
          <w:szCs w:val="24"/>
          <w:lang w:val="en-US"/>
        </w:rPr>
        <w:t xml:space="preserve"> S et al. Prevalence of sarcopenia and sarcopenic obesity in Korean adults: the Korean sarcopenic obesity study. International Journal of Obesity. 2009;33(8):885-892. </w:t>
      </w:r>
      <w:r w:rsidRPr="00514EEC">
        <w:rPr>
          <w:rFonts w:ascii="Arial" w:hAnsi="Arial" w:cs="Arial"/>
          <w:sz w:val="24"/>
          <w:szCs w:val="24"/>
          <w:lang w:val="en-US"/>
        </w:rPr>
        <w:t>https://doi.org/10.1038/ijo.2009.130.</w:t>
      </w:r>
    </w:p>
    <w:p w14:paraId="61233E6C"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Fonts w:ascii="Arial" w:hAnsi="Arial" w:cs="Arial"/>
          <w:sz w:val="24"/>
          <w:szCs w:val="24"/>
          <w:lang w:val="en-US"/>
        </w:rPr>
        <w:t>Khor E, Lim J, Tay L, Yeo A, Yew S, Ding Y, Lim W. Obesity Definitions in Sarcopenic Obesity: Differences in Prevalence, Agreement and Association with Muscle Function. The Journal of Frailty of Aging. 2019;</w:t>
      </w:r>
      <w:r w:rsidRPr="00514EEC">
        <w:rPr>
          <w:rStyle w:val="selectable"/>
          <w:rFonts w:ascii="Arial" w:hAnsi="Arial" w:cs="Arial"/>
          <w:sz w:val="24"/>
          <w:szCs w:val="24"/>
          <w:lang w:val="en-US"/>
        </w:rPr>
        <w:t xml:space="preserve">000-000. </w:t>
      </w:r>
      <w:r w:rsidRPr="00514EEC">
        <w:rPr>
          <w:rFonts w:ascii="Arial" w:hAnsi="Arial" w:cs="Arial"/>
          <w:sz w:val="24"/>
          <w:szCs w:val="24"/>
          <w:lang w:val="en-US"/>
        </w:rPr>
        <w:t xml:space="preserve">https://doi.org/10.14283/jfa.2019.28. </w:t>
      </w:r>
    </w:p>
    <w:p w14:paraId="201EB165"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 xml:space="preserve">Low S, Goh K, Ng T, Ang S, </w:t>
      </w:r>
      <w:proofErr w:type="spellStart"/>
      <w:r w:rsidRPr="00514EEC">
        <w:rPr>
          <w:rStyle w:val="selectable"/>
          <w:rFonts w:ascii="Arial" w:hAnsi="Arial" w:cs="Arial"/>
          <w:sz w:val="24"/>
          <w:szCs w:val="24"/>
          <w:lang w:val="en-US"/>
        </w:rPr>
        <w:t>Moh</w:t>
      </w:r>
      <w:proofErr w:type="spellEnd"/>
      <w:r w:rsidRPr="00514EEC">
        <w:rPr>
          <w:rStyle w:val="selectable"/>
          <w:rFonts w:ascii="Arial" w:hAnsi="Arial" w:cs="Arial"/>
          <w:sz w:val="24"/>
          <w:szCs w:val="24"/>
          <w:lang w:val="en-US"/>
        </w:rPr>
        <w:t xml:space="preserve"> A, Wang J, Ang K, Subramaniam T, Sum C, Lim S. The prevalence of sarcopenic obesity and its association with cognitive performance in type 2 diabetes in Singapore. Clinical Nutrition. 2019; 000-000. </w:t>
      </w:r>
      <w:r w:rsidRPr="00514EEC">
        <w:rPr>
          <w:rFonts w:ascii="Arial" w:hAnsi="Arial" w:cs="Arial"/>
          <w:sz w:val="24"/>
          <w:szCs w:val="24"/>
          <w:lang w:val="en-US"/>
        </w:rPr>
        <w:t>https://doi.org/10.1016/j.clnu.2019.10.019.</w:t>
      </w:r>
    </w:p>
    <w:p w14:paraId="548830BA"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lastRenderedPageBreak/>
        <w:t xml:space="preserve">Prado C, Wells J, Smith S, Stephan B, </w:t>
      </w:r>
      <w:proofErr w:type="spellStart"/>
      <w:r w:rsidRPr="00514EEC">
        <w:rPr>
          <w:rStyle w:val="selectable"/>
          <w:rFonts w:ascii="Arial" w:hAnsi="Arial" w:cs="Arial"/>
          <w:sz w:val="24"/>
          <w:szCs w:val="24"/>
          <w:lang w:val="en-US"/>
        </w:rPr>
        <w:t>Siervo</w:t>
      </w:r>
      <w:proofErr w:type="spellEnd"/>
      <w:r w:rsidRPr="00514EEC">
        <w:rPr>
          <w:rStyle w:val="selectable"/>
          <w:rFonts w:ascii="Arial" w:hAnsi="Arial" w:cs="Arial"/>
          <w:sz w:val="24"/>
          <w:szCs w:val="24"/>
          <w:lang w:val="en-US"/>
        </w:rPr>
        <w:t xml:space="preserve"> M. Sarcopenic obesity: A Critical appraisal of the current evidence. Clinical Nutrition. 2012;31(5):583-601. https://doi.org/</w:t>
      </w:r>
      <w:r w:rsidRPr="00514EEC">
        <w:rPr>
          <w:rFonts w:ascii="Arial" w:hAnsi="Arial" w:cs="Arial"/>
          <w:sz w:val="24"/>
          <w:szCs w:val="24"/>
          <w:lang w:val="en-US"/>
        </w:rPr>
        <w:t>10.1016/j.clnu.2012.06.010.</w:t>
      </w:r>
    </w:p>
    <w:p w14:paraId="07C242E4" w14:textId="77777777" w:rsidR="00D714C2" w:rsidRPr="00514EEC" w:rsidRDefault="00D714C2" w:rsidP="00D714C2">
      <w:pPr>
        <w:pStyle w:val="CommentText"/>
        <w:numPr>
          <w:ilvl w:val="0"/>
          <w:numId w:val="11"/>
        </w:numPr>
        <w:spacing w:after="0" w:line="480" w:lineRule="auto"/>
        <w:jc w:val="both"/>
        <w:rPr>
          <w:rFonts w:ascii="Arial" w:hAnsi="Arial" w:cs="Arial"/>
          <w:sz w:val="24"/>
          <w:szCs w:val="24"/>
        </w:rPr>
      </w:pPr>
      <w:r w:rsidRPr="00514EEC">
        <w:rPr>
          <w:rStyle w:val="selectable"/>
          <w:rFonts w:ascii="Arial" w:hAnsi="Arial" w:cs="Arial"/>
          <w:sz w:val="24"/>
          <w:szCs w:val="24"/>
        </w:rPr>
        <w:t>Singapore Department of Statistics (DOS) [Internet]. Base. 2020 [cited 5 May 2020]. Available from: https://www.singstat.gov.sg.</w:t>
      </w:r>
    </w:p>
    <w:p w14:paraId="428CC6D9" w14:textId="77777777" w:rsidR="00D714C2" w:rsidRPr="00514EEC" w:rsidRDefault="00D714C2" w:rsidP="00D714C2">
      <w:pPr>
        <w:pStyle w:val="CommentText"/>
        <w:numPr>
          <w:ilvl w:val="0"/>
          <w:numId w:val="11"/>
        </w:numPr>
        <w:spacing w:after="0" w:line="480" w:lineRule="auto"/>
        <w:rPr>
          <w:rFonts w:ascii="Arial" w:hAnsi="Arial" w:cs="Arial"/>
          <w:sz w:val="24"/>
          <w:szCs w:val="24"/>
          <w:shd w:val="clear" w:color="auto" w:fill="FFFFFF"/>
        </w:rPr>
      </w:pPr>
      <w:r w:rsidRPr="00514EEC">
        <w:rPr>
          <w:rFonts w:ascii="Arial" w:hAnsi="Arial" w:cs="Arial"/>
          <w:sz w:val="24"/>
          <w:szCs w:val="24"/>
          <w:shd w:val="clear" w:color="auto" w:fill="FFFFFF"/>
        </w:rPr>
        <w:t xml:space="preserve">Pang B, Wee S, Lau L, Jabbar K, </w:t>
      </w:r>
      <w:proofErr w:type="spellStart"/>
      <w:r w:rsidRPr="00514EEC">
        <w:rPr>
          <w:rFonts w:ascii="Arial" w:hAnsi="Arial" w:cs="Arial"/>
          <w:sz w:val="24"/>
          <w:szCs w:val="24"/>
          <w:shd w:val="clear" w:color="auto" w:fill="FFFFFF"/>
        </w:rPr>
        <w:t>Seah</w:t>
      </w:r>
      <w:proofErr w:type="spellEnd"/>
      <w:r w:rsidRPr="00514EEC">
        <w:rPr>
          <w:rFonts w:ascii="Arial" w:hAnsi="Arial" w:cs="Arial"/>
          <w:sz w:val="24"/>
          <w:szCs w:val="24"/>
          <w:shd w:val="clear" w:color="auto" w:fill="FFFFFF"/>
        </w:rPr>
        <w:t xml:space="preserve"> W, Ng D et al. Prevalence and Associated Factors of Sarcopenia in Singaporean Adults—The Yishun Study. Journal of the American Medical Directors Association. 2020;000-000.</w:t>
      </w:r>
    </w:p>
    <w:p w14:paraId="2DB53824" w14:textId="77777777" w:rsidR="00D714C2" w:rsidRPr="00514EEC" w:rsidRDefault="00D714C2" w:rsidP="00D714C2">
      <w:pPr>
        <w:pStyle w:val="CommentText"/>
        <w:spacing w:after="0" w:line="480" w:lineRule="auto"/>
        <w:ind w:left="360"/>
        <w:rPr>
          <w:rStyle w:val="selectable"/>
          <w:rFonts w:ascii="Arial" w:hAnsi="Arial" w:cs="Arial"/>
          <w:sz w:val="24"/>
          <w:szCs w:val="24"/>
        </w:rPr>
      </w:pPr>
      <w:r w:rsidRPr="00514EEC">
        <w:rPr>
          <w:rFonts w:ascii="Arial" w:hAnsi="Arial" w:cs="Arial"/>
          <w:sz w:val="24"/>
          <w:szCs w:val="24"/>
          <w:lang w:val="en-US"/>
        </w:rPr>
        <w:t>https://doi.org/10.1016/j.jamda.2020.05.029.</w:t>
      </w:r>
    </w:p>
    <w:p w14:paraId="1C379798"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 xml:space="preserve">Kaiser M, Bauer J, </w:t>
      </w:r>
      <w:proofErr w:type="spellStart"/>
      <w:r w:rsidRPr="00514EEC">
        <w:rPr>
          <w:rStyle w:val="selectable"/>
          <w:rFonts w:ascii="Arial" w:hAnsi="Arial" w:cs="Arial"/>
          <w:sz w:val="24"/>
          <w:szCs w:val="24"/>
          <w:lang w:val="en-US"/>
        </w:rPr>
        <w:t>Ramsch</w:t>
      </w:r>
      <w:proofErr w:type="spellEnd"/>
      <w:r w:rsidRPr="00514EEC">
        <w:rPr>
          <w:rStyle w:val="selectable"/>
          <w:rFonts w:ascii="Arial" w:hAnsi="Arial" w:cs="Arial"/>
          <w:sz w:val="24"/>
          <w:szCs w:val="24"/>
          <w:lang w:val="en-US"/>
        </w:rPr>
        <w:t xml:space="preserve"> C, </w:t>
      </w:r>
      <w:proofErr w:type="spellStart"/>
      <w:r w:rsidRPr="00514EEC">
        <w:rPr>
          <w:rStyle w:val="selectable"/>
          <w:rFonts w:ascii="Arial" w:hAnsi="Arial" w:cs="Arial"/>
          <w:sz w:val="24"/>
          <w:szCs w:val="24"/>
          <w:lang w:val="en-US"/>
        </w:rPr>
        <w:t>Uter</w:t>
      </w:r>
      <w:proofErr w:type="spellEnd"/>
      <w:r w:rsidRPr="00514EEC">
        <w:rPr>
          <w:rStyle w:val="selectable"/>
          <w:rFonts w:ascii="Arial" w:hAnsi="Arial" w:cs="Arial"/>
          <w:sz w:val="24"/>
          <w:szCs w:val="24"/>
          <w:lang w:val="en-US"/>
        </w:rPr>
        <w:t xml:space="preserve"> W, </w:t>
      </w:r>
      <w:proofErr w:type="spellStart"/>
      <w:r w:rsidRPr="00514EEC">
        <w:rPr>
          <w:rStyle w:val="selectable"/>
          <w:rFonts w:ascii="Arial" w:hAnsi="Arial" w:cs="Arial"/>
          <w:sz w:val="24"/>
          <w:szCs w:val="24"/>
          <w:lang w:val="en-US"/>
        </w:rPr>
        <w:t>Guigoz</w:t>
      </w:r>
      <w:proofErr w:type="spellEnd"/>
      <w:r w:rsidRPr="00514EEC">
        <w:rPr>
          <w:rStyle w:val="selectable"/>
          <w:rFonts w:ascii="Arial" w:hAnsi="Arial" w:cs="Arial"/>
          <w:sz w:val="24"/>
          <w:szCs w:val="24"/>
          <w:lang w:val="en-US"/>
        </w:rPr>
        <w:t xml:space="preserve"> Y, Cederholm T, Thomas D, Anthony P, Charlton K, Maggio M et al. Validation of the Mini Nutritional Assessment short-form (MNA®-SF): A practical tool for identification of nutritional status. The Journal of Nutrition, Health and Aging. 2009;13(9):782-788. https://doi.org/10.1007/s12603-009-0214-7. </w:t>
      </w:r>
    </w:p>
    <w:p w14:paraId="1BBF65E2" w14:textId="77777777" w:rsidR="00D714C2" w:rsidRPr="00514EEC" w:rsidRDefault="00D714C2" w:rsidP="00D714C2">
      <w:pPr>
        <w:pStyle w:val="CommentText"/>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Armstrong T, Bull F. Development of the World Health Organization Global Physical Activity Questionnaire (GPAQ). Journal of Public Health. 2006;14(2):66-70. https://doi.org/</w:t>
      </w:r>
      <w:r w:rsidRPr="00514EEC">
        <w:rPr>
          <w:rFonts w:ascii="Arial" w:hAnsi="Arial" w:cs="Arial"/>
          <w:sz w:val="24"/>
          <w:szCs w:val="24"/>
          <w:lang w:val="en-US"/>
        </w:rPr>
        <w:t>10.1007/s10389-006-0024-x.</w:t>
      </w:r>
    </w:p>
    <w:p w14:paraId="18B44367" w14:textId="77777777" w:rsidR="00D714C2" w:rsidRPr="00514EEC" w:rsidRDefault="00D714C2" w:rsidP="00D714C2">
      <w:pPr>
        <w:pStyle w:val="CommentText"/>
        <w:numPr>
          <w:ilvl w:val="0"/>
          <w:numId w:val="11"/>
        </w:numPr>
        <w:spacing w:after="0" w:line="480" w:lineRule="auto"/>
        <w:ind w:left="357" w:hanging="357"/>
        <w:rPr>
          <w:rStyle w:val="selectable"/>
          <w:rFonts w:ascii="Arial" w:hAnsi="Arial" w:cs="Arial"/>
          <w:sz w:val="24"/>
          <w:szCs w:val="24"/>
          <w:lang w:val="en-US"/>
        </w:rPr>
      </w:pPr>
      <w:proofErr w:type="spellStart"/>
      <w:r w:rsidRPr="00514EEC">
        <w:rPr>
          <w:rStyle w:val="selectable"/>
          <w:rFonts w:ascii="Arial" w:hAnsi="Arial" w:cs="Arial"/>
          <w:sz w:val="24"/>
          <w:szCs w:val="24"/>
          <w:lang w:val="en-US"/>
        </w:rPr>
        <w:t>Stel</w:t>
      </w:r>
      <w:proofErr w:type="spellEnd"/>
      <w:r w:rsidRPr="00514EEC">
        <w:rPr>
          <w:rStyle w:val="selectable"/>
          <w:rFonts w:ascii="Arial" w:hAnsi="Arial" w:cs="Arial"/>
          <w:sz w:val="24"/>
          <w:szCs w:val="24"/>
          <w:lang w:val="en-US"/>
        </w:rPr>
        <w:t xml:space="preserve"> V, Smit J, </w:t>
      </w:r>
      <w:proofErr w:type="spellStart"/>
      <w:r w:rsidRPr="00514EEC">
        <w:rPr>
          <w:rStyle w:val="selectable"/>
          <w:rFonts w:ascii="Arial" w:hAnsi="Arial" w:cs="Arial"/>
          <w:sz w:val="24"/>
          <w:szCs w:val="24"/>
          <w:lang w:val="en-US"/>
        </w:rPr>
        <w:t>Pluijm</w:t>
      </w:r>
      <w:proofErr w:type="spellEnd"/>
      <w:r w:rsidRPr="00514EEC">
        <w:rPr>
          <w:rStyle w:val="selectable"/>
          <w:rFonts w:ascii="Arial" w:hAnsi="Arial" w:cs="Arial"/>
          <w:sz w:val="24"/>
          <w:szCs w:val="24"/>
          <w:lang w:val="en-US"/>
        </w:rPr>
        <w:t xml:space="preserve"> S, Visser M, </w:t>
      </w:r>
      <w:proofErr w:type="spellStart"/>
      <w:r w:rsidRPr="00514EEC">
        <w:rPr>
          <w:rStyle w:val="selectable"/>
          <w:rFonts w:ascii="Arial" w:hAnsi="Arial" w:cs="Arial"/>
          <w:sz w:val="24"/>
          <w:szCs w:val="24"/>
          <w:lang w:val="en-US"/>
        </w:rPr>
        <w:t>Deeg</w:t>
      </w:r>
      <w:proofErr w:type="spellEnd"/>
      <w:r w:rsidRPr="00514EEC">
        <w:rPr>
          <w:rStyle w:val="selectable"/>
          <w:rFonts w:ascii="Arial" w:hAnsi="Arial" w:cs="Arial"/>
          <w:sz w:val="24"/>
          <w:szCs w:val="24"/>
          <w:lang w:val="en-US"/>
        </w:rPr>
        <w:t xml:space="preserve"> D, Lips P. Comparison of the LASA Physical Activity Questionnaire with a 7-day diary and pedometer. Journal of Clinical Epidemiology. 2004;57(3):252-258. https://doi.org/10.1016/j.jclinepi.2003.07.008.</w:t>
      </w:r>
    </w:p>
    <w:p w14:paraId="568A9804"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 xml:space="preserve">Alberti K, </w:t>
      </w:r>
      <w:proofErr w:type="spellStart"/>
      <w:r w:rsidRPr="00514EEC">
        <w:rPr>
          <w:rStyle w:val="selectable"/>
          <w:rFonts w:ascii="Arial" w:hAnsi="Arial" w:cs="Arial"/>
          <w:sz w:val="24"/>
          <w:szCs w:val="24"/>
          <w:lang w:val="en-US"/>
        </w:rPr>
        <w:t>Zimmet</w:t>
      </w:r>
      <w:proofErr w:type="spellEnd"/>
      <w:r w:rsidRPr="00514EEC">
        <w:rPr>
          <w:rStyle w:val="selectable"/>
          <w:rFonts w:ascii="Arial" w:hAnsi="Arial" w:cs="Arial"/>
          <w:sz w:val="24"/>
          <w:szCs w:val="24"/>
          <w:lang w:val="en-US"/>
        </w:rPr>
        <w:t xml:space="preserve"> P, Shaw J. International Diabetes Federation: a consensus on Type 2 diabetes prevention. Diabetic Medicine. 2007;24(5):451-463. https://doi.org/</w:t>
      </w:r>
      <w:r w:rsidRPr="00514EEC">
        <w:rPr>
          <w:rFonts w:ascii="Arial" w:hAnsi="Arial" w:cs="Arial"/>
          <w:sz w:val="24"/>
          <w:szCs w:val="24"/>
          <w:lang w:val="en-US"/>
        </w:rPr>
        <w:t>10.1111/j.1464-5491.2007.02157.x.</w:t>
      </w:r>
    </w:p>
    <w:p w14:paraId="1DF6A3E0"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 xml:space="preserve">Collinson S, Fang S, Lim M, Feng L, Ng T. Normative Data for the Repeatable </w:t>
      </w:r>
      <w:r w:rsidRPr="00514EEC">
        <w:rPr>
          <w:rStyle w:val="selectable"/>
          <w:rFonts w:ascii="Arial" w:hAnsi="Arial" w:cs="Arial"/>
          <w:sz w:val="24"/>
          <w:szCs w:val="24"/>
          <w:lang w:val="en-US"/>
        </w:rPr>
        <w:lastRenderedPageBreak/>
        <w:t xml:space="preserve">Battery for the Assessment of Neuropsychological Status in Elderly Chinese. Archives of Clinical Neuropsychology. 2014;29(5):442-455. https://doi.org/10.1093/arclin/acu023. </w:t>
      </w:r>
    </w:p>
    <w:p w14:paraId="19F99AB9"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proofErr w:type="spellStart"/>
      <w:r w:rsidRPr="00514EEC">
        <w:rPr>
          <w:rStyle w:val="selectable"/>
          <w:rFonts w:ascii="Arial" w:hAnsi="Arial" w:cs="Arial"/>
          <w:sz w:val="24"/>
          <w:szCs w:val="24"/>
          <w:lang w:val="en-US"/>
        </w:rPr>
        <w:t>Rantanen</w:t>
      </w:r>
      <w:proofErr w:type="spellEnd"/>
      <w:r w:rsidRPr="00514EEC">
        <w:rPr>
          <w:rStyle w:val="selectable"/>
          <w:rFonts w:ascii="Arial" w:hAnsi="Arial" w:cs="Arial"/>
          <w:sz w:val="24"/>
          <w:szCs w:val="24"/>
          <w:lang w:val="en-US"/>
        </w:rPr>
        <w:t xml:space="preserve"> T. Midlife Hand Grip Strength as a Predictor of Old Age Disability. JAMA. 1999;281(6):558. https://doi.org/</w:t>
      </w:r>
      <w:r w:rsidRPr="00514EEC">
        <w:rPr>
          <w:rStyle w:val="meta-citation"/>
          <w:rFonts w:ascii="Arial" w:hAnsi="Arial" w:cs="Arial"/>
          <w:sz w:val="24"/>
          <w:szCs w:val="24"/>
          <w:lang w:val="en-US"/>
        </w:rPr>
        <w:t>10.1001/jama.281.6.558.</w:t>
      </w:r>
    </w:p>
    <w:p w14:paraId="17B17696"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proofErr w:type="spellStart"/>
      <w:r w:rsidRPr="00514EEC">
        <w:rPr>
          <w:rStyle w:val="selectable"/>
          <w:rFonts w:ascii="Arial" w:hAnsi="Arial" w:cs="Arial"/>
          <w:sz w:val="24"/>
          <w:szCs w:val="24"/>
          <w:lang w:val="en-US"/>
        </w:rPr>
        <w:t>Guralnik</w:t>
      </w:r>
      <w:proofErr w:type="spellEnd"/>
      <w:r w:rsidRPr="00514EEC">
        <w:rPr>
          <w:rStyle w:val="selectable"/>
          <w:rFonts w:ascii="Arial" w:hAnsi="Arial" w:cs="Arial"/>
          <w:sz w:val="24"/>
          <w:szCs w:val="24"/>
          <w:lang w:val="en-US"/>
        </w:rPr>
        <w:t xml:space="preserve"> J, </w:t>
      </w:r>
      <w:proofErr w:type="spellStart"/>
      <w:r w:rsidRPr="00514EEC">
        <w:rPr>
          <w:rStyle w:val="selectable"/>
          <w:rFonts w:ascii="Arial" w:hAnsi="Arial" w:cs="Arial"/>
          <w:sz w:val="24"/>
          <w:szCs w:val="24"/>
          <w:lang w:val="en-US"/>
        </w:rPr>
        <w:t>Ferrucci</w:t>
      </w:r>
      <w:proofErr w:type="spellEnd"/>
      <w:r w:rsidRPr="00514EEC">
        <w:rPr>
          <w:rStyle w:val="selectable"/>
          <w:rFonts w:ascii="Arial" w:hAnsi="Arial" w:cs="Arial"/>
          <w:sz w:val="24"/>
          <w:szCs w:val="24"/>
          <w:lang w:val="en-US"/>
        </w:rPr>
        <w:t xml:space="preserve"> L, </w:t>
      </w:r>
      <w:proofErr w:type="spellStart"/>
      <w:r w:rsidRPr="00514EEC">
        <w:rPr>
          <w:rStyle w:val="selectable"/>
          <w:rFonts w:ascii="Arial" w:hAnsi="Arial" w:cs="Arial"/>
          <w:sz w:val="24"/>
          <w:szCs w:val="24"/>
          <w:lang w:val="en-US"/>
        </w:rPr>
        <w:t>Simonsick</w:t>
      </w:r>
      <w:proofErr w:type="spellEnd"/>
      <w:r w:rsidRPr="00514EEC">
        <w:rPr>
          <w:rStyle w:val="selectable"/>
          <w:rFonts w:ascii="Arial" w:hAnsi="Arial" w:cs="Arial"/>
          <w:sz w:val="24"/>
          <w:szCs w:val="24"/>
          <w:lang w:val="en-US"/>
        </w:rPr>
        <w:t xml:space="preserve"> E, </w:t>
      </w:r>
      <w:proofErr w:type="spellStart"/>
      <w:r w:rsidRPr="00514EEC">
        <w:rPr>
          <w:rStyle w:val="selectable"/>
          <w:rFonts w:ascii="Arial" w:hAnsi="Arial" w:cs="Arial"/>
          <w:sz w:val="24"/>
          <w:szCs w:val="24"/>
          <w:lang w:val="en-US"/>
        </w:rPr>
        <w:t>Salive</w:t>
      </w:r>
      <w:proofErr w:type="spellEnd"/>
      <w:r w:rsidRPr="00514EEC">
        <w:rPr>
          <w:rStyle w:val="selectable"/>
          <w:rFonts w:ascii="Arial" w:hAnsi="Arial" w:cs="Arial"/>
          <w:sz w:val="24"/>
          <w:szCs w:val="24"/>
          <w:lang w:val="en-US"/>
        </w:rPr>
        <w:t xml:space="preserve"> M, Wallace R. Lower-Extremity Function in Persons over the Age of 70 Years as a Predictor of Subsequent Disability. New England Journal of Medicine. 1995;332(9):556-562. https://doi.org/</w:t>
      </w:r>
      <w:r w:rsidRPr="00514EEC">
        <w:rPr>
          <w:rStyle w:val="identifier"/>
          <w:rFonts w:ascii="Arial" w:hAnsi="Arial" w:cs="Arial"/>
          <w:sz w:val="24"/>
          <w:szCs w:val="24"/>
          <w:lang w:val="en-US"/>
        </w:rPr>
        <w:t>10.1056/NEJM199503023320902.</w:t>
      </w:r>
    </w:p>
    <w:p w14:paraId="0E1F27FF"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proofErr w:type="spellStart"/>
      <w:r w:rsidRPr="00514EEC">
        <w:rPr>
          <w:rStyle w:val="selectable"/>
          <w:rFonts w:ascii="Arial" w:hAnsi="Arial" w:cs="Arial"/>
          <w:sz w:val="24"/>
          <w:szCs w:val="24"/>
          <w:lang w:val="en-US"/>
        </w:rPr>
        <w:t>Studenski</w:t>
      </w:r>
      <w:proofErr w:type="spellEnd"/>
      <w:r w:rsidRPr="00514EEC">
        <w:rPr>
          <w:rStyle w:val="selectable"/>
          <w:rFonts w:ascii="Arial" w:hAnsi="Arial" w:cs="Arial"/>
          <w:sz w:val="24"/>
          <w:szCs w:val="24"/>
          <w:lang w:val="en-US"/>
        </w:rPr>
        <w:t xml:space="preserve"> S. Gait Speed and Survival in Older Adults. JAMA. 2011;305(1):50. https://doi.org/</w:t>
      </w:r>
      <w:r w:rsidRPr="00514EEC">
        <w:rPr>
          <w:rStyle w:val="meta-citation"/>
          <w:rFonts w:ascii="Arial" w:hAnsi="Arial" w:cs="Arial"/>
          <w:sz w:val="24"/>
          <w:szCs w:val="24"/>
          <w:lang w:val="en-US"/>
        </w:rPr>
        <w:t>10.1001/jama.2010.1923</w:t>
      </w:r>
      <w:r w:rsidRPr="00514EEC">
        <w:rPr>
          <w:rStyle w:val="identifier"/>
          <w:rFonts w:ascii="Arial" w:hAnsi="Arial" w:cs="Arial"/>
          <w:sz w:val="24"/>
          <w:szCs w:val="24"/>
          <w:lang w:val="en-US"/>
        </w:rPr>
        <w:t>.</w:t>
      </w:r>
    </w:p>
    <w:p w14:paraId="5C4E0A65"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Fonts w:ascii="Arial" w:hAnsi="Arial" w:cs="Arial"/>
          <w:sz w:val="24"/>
          <w:szCs w:val="24"/>
          <w:lang w:val="en-US"/>
        </w:rPr>
      </w:pPr>
      <w:proofErr w:type="spellStart"/>
      <w:r w:rsidRPr="00514EEC">
        <w:rPr>
          <w:rStyle w:val="selectable"/>
          <w:rFonts w:ascii="Arial" w:hAnsi="Arial" w:cs="Arial"/>
          <w:sz w:val="24"/>
          <w:szCs w:val="24"/>
          <w:lang w:val="en-US"/>
        </w:rPr>
        <w:t>Puthoff</w:t>
      </w:r>
      <w:proofErr w:type="spellEnd"/>
      <w:r w:rsidRPr="00514EEC">
        <w:rPr>
          <w:rStyle w:val="selectable"/>
          <w:rFonts w:ascii="Arial" w:hAnsi="Arial" w:cs="Arial"/>
          <w:sz w:val="24"/>
          <w:szCs w:val="24"/>
          <w:lang w:val="en-US"/>
        </w:rPr>
        <w:t xml:space="preserve"> M. Research Corner Outcome Measures in Cardiopulmonary Physical Therapy: Short Physical Performance Battery. Cardiopulmonary Physical Therapy Journal. 2008;19(1):17-22. https://doi.org/10.1097/01823246-200819010-00005.</w:t>
      </w:r>
    </w:p>
    <w:p w14:paraId="38F1BDB4" w14:textId="77777777" w:rsidR="00D714C2" w:rsidRPr="00514EEC" w:rsidRDefault="00D714C2" w:rsidP="00D714C2">
      <w:pPr>
        <w:pStyle w:val="ListParagraph"/>
        <w:widowControl w:val="0"/>
        <w:numPr>
          <w:ilvl w:val="0"/>
          <w:numId w:val="11"/>
        </w:numPr>
        <w:autoSpaceDE w:val="0"/>
        <w:autoSpaceDN w:val="0"/>
        <w:adjustRightInd w:val="0"/>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 xml:space="preserve">Shumway-Cook A, </w:t>
      </w:r>
      <w:proofErr w:type="spellStart"/>
      <w:r w:rsidRPr="00514EEC">
        <w:rPr>
          <w:rStyle w:val="selectable"/>
          <w:rFonts w:ascii="Arial" w:hAnsi="Arial" w:cs="Arial"/>
          <w:sz w:val="24"/>
          <w:szCs w:val="24"/>
          <w:lang w:val="en-US"/>
        </w:rPr>
        <w:t>Brauer</w:t>
      </w:r>
      <w:proofErr w:type="spellEnd"/>
      <w:r w:rsidRPr="00514EEC">
        <w:rPr>
          <w:rStyle w:val="selectable"/>
          <w:rFonts w:ascii="Arial" w:hAnsi="Arial" w:cs="Arial"/>
          <w:sz w:val="24"/>
          <w:szCs w:val="24"/>
          <w:lang w:val="en-US"/>
        </w:rPr>
        <w:t xml:space="preserve"> S, Woollacott M. Predicting the Probability for Falls in Community-Dwelling Older Adults Using the Timed Up &amp; Go Test. Physical Therapy. 2000;80(9):896-903. https://doi.org/10.1093/ptj/80.9.896.</w:t>
      </w:r>
    </w:p>
    <w:p w14:paraId="2D076348" w14:textId="77777777" w:rsidR="00D714C2" w:rsidRPr="00514EEC" w:rsidRDefault="00D714C2" w:rsidP="00D714C2">
      <w:pPr>
        <w:pStyle w:val="ListParagraph"/>
        <w:numPr>
          <w:ilvl w:val="0"/>
          <w:numId w:val="11"/>
        </w:numPr>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 xml:space="preserve">Chen L, Liu L, Woo J, </w:t>
      </w:r>
      <w:proofErr w:type="spellStart"/>
      <w:r w:rsidRPr="00514EEC">
        <w:rPr>
          <w:rStyle w:val="selectable"/>
          <w:rFonts w:ascii="Arial" w:hAnsi="Arial" w:cs="Arial"/>
          <w:sz w:val="24"/>
          <w:szCs w:val="24"/>
          <w:lang w:val="en-US"/>
        </w:rPr>
        <w:t>Assantachai</w:t>
      </w:r>
      <w:proofErr w:type="spellEnd"/>
      <w:r w:rsidRPr="00514EEC">
        <w:rPr>
          <w:rStyle w:val="selectable"/>
          <w:rFonts w:ascii="Arial" w:hAnsi="Arial" w:cs="Arial"/>
          <w:sz w:val="24"/>
          <w:szCs w:val="24"/>
          <w:lang w:val="en-US"/>
        </w:rPr>
        <w:t xml:space="preserve"> P, Auyeung T, </w:t>
      </w:r>
      <w:proofErr w:type="spellStart"/>
      <w:r w:rsidRPr="00514EEC">
        <w:rPr>
          <w:rStyle w:val="selectable"/>
          <w:rFonts w:ascii="Arial" w:hAnsi="Arial" w:cs="Arial"/>
          <w:sz w:val="24"/>
          <w:szCs w:val="24"/>
          <w:lang w:val="en-US"/>
        </w:rPr>
        <w:t>Bahyah</w:t>
      </w:r>
      <w:proofErr w:type="spellEnd"/>
      <w:r w:rsidRPr="00514EEC">
        <w:rPr>
          <w:rStyle w:val="selectable"/>
          <w:rFonts w:ascii="Arial" w:hAnsi="Arial" w:cs="Arial"/>
          <w:sz w:val="24"/>
          <w:szCs w:val="24"/>
          <w:lang w:val="en-US"/>
        </w:rPr>
        <w:t xml:space="preserve"> K, Chou M, Chen L, Hsu P, </w:t>
      </w:r>
      <w:proofErr w:type="spellStart"/>
      <w:r w:rsidRPr="00514EEC">
        <w:rPr>
          <w:rStyle w:val="selectable"/>
          <w:rFonts w:ascii="Arial" w:hAnsi="Arial" w:cs="Arial"/>
          <w:sz w:val="24"/>
          <w:szCs w:val="24"/>
          <w:lang w:val="en-US"/>
        </w:rPr>
        <w:t>Krairit</w:t>
      </w:r>
      <w:proofErr w:type="spellEnd"/>
      <w:r w:rsidRPr="00514EEC">
        <w:rPr>
          <w:rStyle w:val="selectable"/>
          <w:rFonts w:ascii="Arial" w:hAnsi="Arial" w:cs="Arial"/>
          <w:sz w:val="24"/>
          <w:szCs w:val="24"/>
          <w:lang w:val="en-US"/>
        </w:rPr>
        <w:t xml:space="preserve"> O et al. Sarcopenia in Asia: Consensus Report of the Asian Working Group for Sarcopenia. Journal of the American Medical Directors Association. 2014;15(2):95-101. https://doi.org/10.1016/j.jamda.2013.11.025.</w:t>
      </w:r>
    </w:p>
    <w:p w14:paraId="0F78802D"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proofErr w:type="spellStart"/>
      <w:r w:rsidRPr="00514EEC">
        <w:rPr>
          <w:rStyle w:val="selectable"/>
          <w:rFonts w:ascii="Arial" w:hAnsi="Arial" w:cs="Arial"/>
          <w:sz w:val="24"/>
          <w:szCs w:val="24"/>
          <w:lang w:val="en-US"/>
        </w:rPr>
        <w:t>Calvani</w:t>
      </w:r>
      <w:proofErr w:type="spellEnd"/>
      <w:r w:rsidRPr="00514EEC">
        <w:rPr>
          <w:rStyle w:val="selectable"/>
          <w:rFonts w:ascii="Arial" w:hAnsi="Arial" w:cs="Arial"/>
          <w:sz w:val="24"/>
          <w:szCs w:val="24"/>
          <w:lang w:val="en-US"/>
        </w:rPr>
        <w:t xml:space="preserve"> R, Marini F, </w:t>
      </w:r>
      <w:proofErr w:type="spellStart"/>
      <w:r w:rsidRPr="00514EEC">
        <w:rPr>
          <w:rStyle w:val="selectable"/>
          <w:rFonts w:ascii="Arial" w:hAnsi="Arial" w:cs="Arial"/>
          <w:sz w:val="24"/>
          <w:szCs w:val="24"/>
          <w:lang w:val="en-US"/>
        </w:rPr>
        <w:t>Cesari</w:t>
      </w:r>
      <w:proofErr w:type="spellEnd"/>
      <w:r w:rsidRPr="00514EEC">
        <w:rPr>
          <w:rStyle w:val="selectable"/>
          <w:rFonts w:ascii="Arial" w:hAnsi="Arial" w:cs="Arial"/>
          <w:sz w:val="24"/>
          <w:szCs w:val="24"/>
          <w:lang w:val="en-US"/>
        </w:rPr>
        <w:t xml:space="preserve"> M, </w:t>
      </w:r>
      <w:proofErr w:type="spellStart"/>
      <w:r w:rsidRPr="00514EEC">
        <w:rPr>
          <w:rStyle w:val="selectable"/>
          <w:rFonts w:ascii="Arial" w:hAnsi="Arial" w:cs="Arial"/>
          <w:sz w:val="24"/>
          <w:szCs w:val="24"/>
          <w:lang w:val="en-US"/>
        </w:rPr>
        <w:t>Tosato</w:t>
      </w:r>
      <w:proofErr w:type="spellEnd"/>
      <w:r w:rsidRPr="00514EEC">
        <w:rPr>
          <w:rStyle w:val="selectable"/>
          <w:rFonts w:ascii="Arial" w:hAnsi="Arial" w:cs="Arial"/>
          <w:sz w:val="24"/>
          <w:szCs w:val="24"/>
          <w:lang w:val="en-US"/>
        </w:rPr>
        <w:t xml:space="preserve"> M, Anker S, von </w:t>
      </w:r>
      <w:proofErr w:type="spellStart"/>
      <w:r w:rsidRPr="00514EEC">
        <w:rPr>
          <w:rStyle w:val="selectable"/>
          <w:rFonts w:ascii="Arial" w:hAnsi="Arial" w:cs="Arial"/>
          <w:sz w:val="24"/>
          <w:szCs w:val="24"/>
          <w:lang w:val="en-US"/>
        </w:rPr>
        <w:t>Haehling</w:t>
      </w:r>
      <w:proofErr w:type="spellEnd"/>
      <w:r w:rsidRPr="00514EEC">
        <w:rPr>
          <w:rStyle w:val="selectable"/>
          <w:rFonts w:ascii="Arial" w:hAnsi="Arial" w:cs="Arial"/>
          <w:sz w:val="24"/>
          <w:szCs w:val="24"/>
          <w:lang w:val="en-US"/>
        </w:rPr>
        <w:t xml:space="preserve"> S, Miller R, </w:t>
      </w:r>
      <w:proofErr w:type="spellStart"/>
      <w:r w:rsidRPr="00514EEC">
        <w:rPr>
          <w:rStyle w:val="selectable"/>
          <w:rFonts w:ascii="Arial" w:hAnsi="Arial" w:cs="Arial"/>
          <w:sz w:val="24"/>
          <w:szCs w:val="24"/>
          <w:lang w:val="en-US"/>
        </w:rPr>
        <w:t>Bernabei</w:t>
      </w:r>
      <w:proofErr w:type="spellEnd"/>
      <w:r w:rsidRPr="00514EEC">
        <w:rPr>
          <w:rStyle w:val="selectable"/>
          <w:rFonts w:ascii="Arial" w:hAnsi="Arial" w:cs="Arial"/>
          <w:sz w:val="24"/>
          <w:szCs w:val="24"/>
          <w:lang w:val="en-US"/>
        </w:rPr>
        <w:t xml:space="preserve"> R, </w:t>
      </w:r>
      <w:proofErr w:type="spellStart"/>
      <w:r w:rsidRPr="00514EEC">
        <w:rPr>
          <w:rStyle w:val="selectable"/>
          <w:rFonts w:ascii="Arial" w:hAnsi="Arial" w:cs="Arial"/>
          <w:sz w:val="24"/>
          <w:szCs w:val="24"/>
          <w:lang w:val="en-US"/>
        </w:rPr>
        <w:t>Landi</w:t>
      </w:r>
      <w:proofErr w:type="spellEnd"/>
      <w:r w:rsidRPr="00514EEC">
        <w:rPr>
          <w:rStyle w:val="selectable"/>
          <w:rFonts w:ascii="Arial" w:hAnsi="Arial" w:cs="Arial"/>
          <w:sz w:val="24"/>
          <w:szCs w:val="24"/>
          <w:lang w:val="en-US"/>
        </w:rPr>
        <w:t xml:space="preserve"> F, Marzetti E et al. Biomarkers for physical frailty and </w:t>
      </w:r>
      <w:r w:rsidRPr="00514EEC">
        <w:rPr>
          <w:rStyle w:val="selectable"/>
          <w:rFonts w:ascii="Arial" w:hAnsi="Arial" w:cs="Arial"/>
          <w:sz w:val="24"/>
          <w:szCs w:val="24"/>
          <w:lang w:val="en-US"/>
        </w:rPr>
        <w:lastRenderedPageBreak/>
        <w:t xml:space="preserve">sarcopenia: state of the science and future developments. Journal of Cachexia, Sarcopenia and Muscle. 2015;6(4):278-286. </w:t>
      </w:r>
      <w:proofErr w:type="gramStart"/>
      <w:r w:rsidRPr="00514EEC">
        <w:rPr>
          <w:rStyle w:val="selectable"/>
          <w:rFonts w:ascii="Arial" w:hAnsi="Arial" w:cs="Arial"/>
          <w:sz w:val="24"/>
          <w:szCs w:val="24"/>
          <w:lang w:val="en-US"/>
        </w:rPr>
        <w:t>https:doi.org</w:t>
      </w:r>
      <w:proofErr w:type="gramEnd"/>
      <w:r w:rsidRPr="00514EEC">
        <w:rPr>
          <w:rStyle w:val="selectable"/>
          <w:rFonts w:ascii="Arial" w:hAnsi="Arial" w:cs="Arial"/>
          <w:sz w:val="24"/>
          <w:szCs w:val="24"/>
          <w:lang w:val="en-US"/>
        </w:rPr>
        <w:t>/</w:t>
      </w:r>
      <w:r w:rsidRPr="00514EEC">
        <w:rPr>
          <w:rFonts w:ascii="Arial" w:hAnsi="Arial" w:cs="Arial"/>
          <w:sz w:val="24"/>
          <w:szCs w:val="24"/>
          <w:lang w:val="en-US"/>
        </w:rPr>
        <w:t>10.1002/jcsm.12051.</w:t>
      </w:r>
    </w:p>
    <w:p w14:paraId="1CD9E89C"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Lee Y, Biddle S, Chan M, Cheng A, Cheong M, Chong Y, Foo L, Lee C, Lim S, Ong W et al. Health Promotion Board–Ministry of Health Clinical Practice Guidelines: Obesity. Singapore Medical Journal. 2015;57(06):292-300. https://doi.org/</w:t>
      </w:r>
      <w:r w:rsidRPr="00514EEC">
        <w:rPr>
          <w:rFonts w:ascii="Arial" w:hAnsi="Arial" w:cs="Arial"/>
          <w:sz w:val="24"/>
          <w:szCs w:val="24"/>
          <w:lang w:val="en-US"/>
        </w:rPr>
        <w:t>10.11622/smedj.2016103.</w:t>
      </w:r>
    </w:p>
    <w:p w14:paraId="6EBD6D3B" w14:textId="77777777" w:rsidR="00D714C2" w:rsidRPr="00514EEC" w:rsidRDefault="00D714C2" w:rsidP="00D714C2">
      <w:pPr>
        <w:pStyle w:val="ListParagraph"/>
        <w:numPr>
          <w:ilvl w:val="0"/>
          <w:numId w:val="11"/>
        </w:numPr>
        <w:spacing w:after="0" w:line="480" w:lineRule="auto"/>
        <w:ind w:left="357" w:hanging="357"/>
        <w:rPr>
          <w:rStyle w:val="identifier"/>
          <w:rFonts w:ascii="Arial" w:hAnsi="Arial" w:cs="Arial"/>
          <w:sz w:val="24"/>
          <w:szCs w:val="24"/>
          <w:lang w:val="en-US"/>
        </w:rPr>
      </w:pPr>
      <w:r w:rsidRPr="00514EEC">
        <w:rPr>
          <w:rStyle w:val="selectable"/>
          <w:rFonts w:ascii="Arial" w:hAnsi="Arial" w:cs="Arial"/>
          <w:sz w:val="24"/>
          <w:szCs w:val="24"/>
          <w:lang w:val="en-US"/>
        </w:rPr>
        <w:t>Liu P, Ma F, Lou H, Liu Y. The utility of fat mass index vs. body mass index and percentage of body fat in the screening of metabolic syndrome. BMC Public Health. 2013;13(1). https://doi.org/</w:t>
      </w:r>
      <w:r w:rsidRPr="00514EEC">
        <w:rPr>
          <w:rStyle w:val="identifier"/>
          <w:rFonts w:ascii="Arial" w:hAnsi="Arial" w:cs="Arial"/>
          <w:sz w:val="24"/>
          <w:szCs w:val="24"/>
          <w:lang w:val="en-US"/>
        </w:rPr>
        <w:t>10.1186/1471-2458-13-629.</w:t>
      </w:r>
    </w:p>
    <w:p w14:paraId="741451FD" w14:textId="77777777" w:rsidR="00D714C2" w:rsidRPr="00514EEC" w:rsidRDefault="00D714C2" w:rsidP="00D714C2">
      <w:pPr>
        <w:pStyle w:val="ListParagraph"/>
        <w:numPr>
          <w:ilvl w:val="0"/>
          <w:numId w:val="11"/>
        </w:numPr>
        <w:spacing w:after="0" w:line="480" w:lineRule="auto"/>
        <w:ind w:left="357" w:hanging="357"/>
        <w:rPr>
          <w:rStyle w:val="selectable"/>
          <w:rFonts w:ascii="Arial" w:hAnsi="Arial" w:cs="Arial"/>
          <w:sz w:val="24"/>
          <w:szCs w:val="24"/>
          <w:lang w:val="en-US"/>
        </w:rPr>
      </w:pPr>
      <w:r w:rsidRPr="00514EEC">
        <w:rPr>
          <w:rStyle w:val="selectable"/>
          <w:rFonts w:ascii="Arial" w:hAnsi="Arial" w:cs="Arial"/>
          <w:sz w:val="24"/>
          <w:szCs w:val="24"/>
          <w:lang w:val="en-US"/>
        </w:rPr>
        <w:t>Peltz G, Aguirre M, Sanderson M, Fadden M. The role of fat mass index in determining obesity. American Journal of Human Biology. 2010;22(5):639-647. https://doi.org/</w:t>
      </w:r>
      <w:r w:rsidRPr="00514EEC">
        <w:rPr>
          <w:rFonts w:ascii="Arial" w:hAnsi="Arial" w:cs="Arial"/>
          <w:sz w:val="24"/>
          <w:szCs w:val="24"/>
          <w:lang w:val="en-US"/>
        </w:rPr>
        <w:t>10.1002/ajhb.21056.</w:t>
      </w:r>
    </w:p>
    <w:p w14:paraId="4A9A43EE"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proofErr w:type="spellStart"/>
      <w:r w:rsidRPr="00514EEC">
        <w:rPr>
          <w:rStyle w:val="selectable"/>
          <w:rFonts w:ascii="Arial" w:hAnsi="Arial" w:cs="Arial"/>
          <w:sz w:val="24"/>
          <w:szCs w:val="24"/>
          <w:lang w:val="en-US"/>
        </w:rPr>
        <w:t>Biolo</w:t>
      </w:r>
      <w:proofErr w:type="spellEnd"/>
      <w:r w:rsidRPr="00514EEC">
        <w:rPr>
          <w:rStyle w:val="selectable"/>
          <w:rFonts w:ascii="Arial" w:hAnsi="Arial" w:cs="Arial"/>
          <w:sz w:val="24"/>
          <w:szCs w:val="24"/>
          <w:lang w:val="en-US"/>
        </w:rPr>
        <w:t xml:space="preserve"> G, Di Girolamo F, </w:t>
      </w:r>
      <w:proofErr w:type="spellStart"/>
      <w:r w:rsidRPr="00514EEC">
        <w:rPr>
          <w:rStyle w:val="selectable"/>
          <w:rFonts w:ascii="Arial" w:hAnsi="Arial" w:cs="Arial"/>
          <w:sz w:val="24"/>
          <w:szCs w:val="24"/>
          <w:lang w:val="en-US"/>
        </w:rPr>
        <w:t>Breglia</w:t>
      </w:r>
      <w:proofErr w:type="spellEnd"/>
      <w:r w:rsidRPr="00514EEC">
        <w:rPr>
          <w:rStyle w:val="selectable"/>
          <w:rFonts w:ascii="Arial" w:hAnsi="Arial" w:cs="Arial"/>
          <w:sz w:val="24"/>
          <w:szCs w:val="24"/>
          <w:lang w:val="en-US"/>
        </w:rPr>
        <w:t xml:space="preserve"> A, </w:t>
      </w:r>
      <w:proofErr w:type="spellStart"/>
      <w:r w:rsidRPr="00514EEC">
        <w:rPr>
          <w:rStyle w:val="selectable"/>
          <w:rFonts w:ascii="Arial" w:hAnsi="Arial" w:cs="Arial"/>
          <w:sz w:val="24"/>
          <w:szCs w:val="24"/>
          <w:lang w:val="en-US"/>
        </w:rPr>
        <w:t>Chiuc</w:t>
      </w:r>
      <w:proofErr w:type="spellEnd"/>
      <w:r w:rsidRPr="00514EEC">
        <w:rPr>
          <w:rStyle w:val="selectable"/>
          <w:rFonts w:ascii="Arial" w:hAnsi="Arial" w:cs="Arial"/>
          <w:sz w:val="24"/>
          <w:szCs w:val="24"/>
          <w:lang w:val="en-US"/>
        </w:rPr>
        <w:t xml:space="preserve"> M, </w:t>
      </w:r>
      <w:proofErr w:type="spellStart"/>
      <w:r w:rsidRPr="00514EEC">
        <w:rPr>
          <w:rStyle w:val="selectable"/>
          <w:rFonts w:ascii="Arial" w:hAnsi="Arial" w:cs="Arial"/>
          <w:sz w:val="24"/>
          <w:szCs w:val="24"/>
          <w:lang w:val="en-US"/>
        </w:rPr>
        <w:t>Baglio</w:t>
      </w:r>
      <w:proofErr w:type="spellEnd"/>
      <w:r w:rsidRPr="00514EEC">
        <w:rPr>
          <w:rStyle w:val="selectable"/>
          <w:rFonts w:ascii="Arial" w:hAnsi="Arial" w:cs="Arial"/>
          <w:sz w:val="24"/>
          <w:szCs w:val="24"/>
          <w:lang w:val="en-US"/>
        </w:rPr>
        <w:t xml:space="preserve"> V, Vinci P, </w:t>
      </w:r>
      <w:proofErr w:type="spellStart"/>
      <w:r w:rsidRPr="00514EEC">
        <w:rPr>
          <w:rStyle w:val="selectable"/>
          <w:rFonts w:ascii="Arial" w:hAnsi="Arial" w:cs="Arial"/>
          <w:sz w:val="24"/>
          <w:szCs w:val="24"/>
          <w:lang w:val="en-US"/>
        </w:rPr>
        <w:t>Toigo</w:t>
      </w:r>
      <w:proofErr w:type="spellEnd"/>
      <w:r w:rsidRPr="00514EEC">
        <w:rPr>
          <w:rStyle w:val="selectable"/>
          <w:rFonts w:ascii="Arial" w:hAnsi="Arial" w:cs="Arial"/>
          <w:sz w:val="24"/>
          <w:szCs w:val="24"/>
          <w:lang w:val="en-US"/>
        </w:rPr>
        <w:t xml:space="preserve"> G, </w:t>
      </w:r>
      <w:proofErr w:type="spellStart"/>
      <w:r w:rsidRPr="00514EEC">
        <w:rPr>
          <w:rStyle w:val="selectable"/>
          <w:rFonts w:ascii="Arial" w:hAnsi="Arial" w:cs="Arial"/>
          <w:sz w:val="24"/>
          <w:szCs w:val="24"/>
          <w:lang w:val="en-US"/>
        </w:rPr>
        <w:t>Lucchin</w:t>
      </w:r>
      <w:proofErr w:type="spellEnd"/>
      <w:r w:rsidRPr="00514EEC">
        <w:rPr>
          <w:rStyle w:val="selectable"/>
          <w:rFonts w:ascii="Arial" w:hAnsi="Arial" w:cs="Arial"/>
          <w:sz w:val="24"/>
          <w:szCs w:val="24"/>
          <w:lang w:val="en-US"/>
        </w:rPr>
        <w:t xml:space="preserve"> L, </w:t>
      </w:r>
      <w:proofErr w:type="spellStart"/>
      <w:r w:rsidRPr="00514EEC">
        <w:rPr>
          <w:rStyle w:val="selectable"/>
          <w:rFonts w:ascii="Arial" w:hAnsi="Arial" w:cs="Arial"/>
          <w:sz w:val="24"/>
          <w:szCs w:val="24"/>
          <w:lang w:val="en-US"/>
        </w:rPr>
        <w:t>Jurdana</w:t>
      </w:r>
      <w:proofErr w:type="spellEnd"/>
      <w:r w:rsidRPr="00514EEC">
        <w:rPr>
          <w:rStyle w:val="selectable"/>
          <w:rFonts w:ascii="Arial" w:hAnsi="Arial" w:cs="Arial"/>
          <w:sz w:val="24"/>
          <w:szCs w:val="24"/>
          <w:lang w:val="en-US"/>
        </w:rPr>
        <w:t xml:space="preserve"> M, </w:t>
      </w:r>
      <w:proofErr w:type="spellStart"/>
      <w:r w:rsidRPr="00514EEC">
        <w:rPr>
          <w:rStyle w:val="selectable"/>
          <w:rFonts w:ascii="Arial" w:hAnsi="Arial" w:cs="Arial"/>
          <w:sz w:val="24"/>
          <w:szCs w:val="24"/>
          <w:lang w:val="en-US"/>
        </w:rPr>
        <w:t>Praznikar</w:t>
      </w:r>
      <w:proofErr w:type="spellEnd"/>
      <w:r w:rsidRPr="00514EEC">
        <w:rPr>
          <w:rStyle w:val="selectable"/>
          <w:rFonts w:ascii="Arial" w:hAnsi="Arial" w:cs="Arial"/>
          <w:sz w:val="24"/>
          <w:szCs w:val="24"/>
          <w:lang w:val="en-US"/>
        </w:rPr>
        <w:t xml:space="preserve"> Z et al. Inverse relationship between “a body shape index” (ABSI) and fat-free mass in women and men: Insights into mechanisms of sarcopenic obesity. Clinical Nutrition. 2015;34(2):323-327. </w:t>
      </w:r>
      <w:r w:rsidRPr="00514EEC">
        <w:rPr>
          <w:rFonts w:ascii="Arial" w:hAnsi="Arial" w:cs="Arial"/>
          <w:sz w:val="24"/>
          <w:szCs w:val="24"/>
          <w:lang w:val="en-US"/>
        </w:rPr>
        <w:t>https://doi.org/10.1016/j.clnu.2014.03.015.</w:t>
      </w:r>
    </w:p>
    <w:p w14:paraId="1B2CE664"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 xml:space="preserve">Cheng Q, Zhu X, Zhang X, Li H, Du Y, Hong W, </w:t>
      </w:r>
      <w:proofErr w:type="spellStart"/>
      <w:r w:rsidRPr="00514EEC">
        <w:rPr>
          <w:rStyle w:val="selectable"/>
          <w:rFonts w:ascii="Arial" w:hAnsi="Arial" w:cs="Arial"/>
          <w:sz w:val="24"/>
          <w:szCs w:val="24"/>
          <w:lang w:val="en-US"/>
        </w:rPr>
        <w:t>Xue</w:t>
      </w:r>
      <w:proofErr w:type="spellEnd"/>
      <w:r w:rsidRPr="00514EEC">
        <w:rPr>
          <w:rStyle w:val="selectable"/>
          <w:rFonts w:ascii="Arial" w:hAnsi="Arial" w:cs="Arial"/>
          <w:sz w:val="24"/>
          <w:szCs w:val="24"/>
          <w:lang w:val="en-US"/>
        </w:rPr>
        <w:t xml:space="preserve"> S, Zhu H. A cross-sectional study of loss of muscle mass corresponding to sarcopenia in healthy Chinese men and women: reference values, prevalence, and association with bone mass. Journal of Bone and Mineral Metabolism. 2013;32(1):78-88. </w:t>
      </w:r>
      <w:r w:rsidRPr="00514EEC">
        <w:rPr>
          <w:rFonts w:ascii="Arial" w:hAnsi="Arial" w:cs="Arial"/>
          <w:sz w:val="24"/>
          <w:szCs w:val="24"/>
          <w:lang w:val="en-US"/>
        </w:rPr>
        <w:t>https://doi.org/10.1007/s00774-013-0468-3.</w:t>
      </w:r>
    </w:p>
    <w:p w14:paraId="248F5782" w14:textId="77777777" w:rsidR="00D714C2" w:rsidRPr="00514EEC" w:rsidRDefault="00D714C2" w:rsidP="00D714C2">
      <w:pPr>
        <w:pStyle w:val="ListParagraph"/>
        <w:numPr>
          <w:ilvl w:val="0"/>
          <w:numId w:val="11"/>
        </w:numPr>
        <w:spacing w:after="0" w:line="480" w:lineRule="auto"/>
        <w:ind w:left="357" w:hanging="357"/>
        <w:rPr>
          <w:rFonts w:ascii="Arial" w:hAnsi="Arial" w:cs="Arial"/>
          <w:sz w:val="24"/>
          <w:szCs w:val="24"/>
          <w:lang w:val="en-US"/>
        </w:rPr>
      </w:pPr>
      <w:r w:rsidRPr="00514EEC">
        <w:rPr>
          <w:rStyle w:val="selectable"/>
          <w:rFonts w:ascii="Arial" w:hAnsi="Arial" w:cs="Arial"/>
          <w:sz w:val="24"/>
          <w:szCs w:val="24"/>
          <w:lang w:val="en-US"/>
        </w:rPr>
        <w:t>Roberts S, Williamson D. Causes of Adult Weight Gain. The Journal of Nutrition. 2002;132(12):3824S-3825S. https://doi.org/</w:t>
      </w:r>
      <w:r w:rsidRPr="00514EEC">
        <w:rPr>
          <w:rFonts w:ascii="Arial" w:hAnsi="Arial" w:cs="Arial"/>
          <w:sz w:val="24"/>
          <w:szCs w:val="24"/>
          <w:lang w:val="en-US"/>
        </w:rPr>
        <w:t>10.1093/jn/132.12.3824S.</w:t>
      </w:r>
    </w:p>
    <w:p w14:paraId="2A1CCD27" w14:textId="77777777" w:rsidR="00D714C2" w:rsidRPr="00514EEC" w:rsidRDefault="00D714C2" w:rsidP="00D714C2">
      <w:pPr>
        <w:pStyle w:val="ListParagraph"/>
        <w:numPr>
          <w:ilvl w:val="0"/>
          <w:numId w:val="11"/>
        </w:numPr>
        <w:spacing w:after="0" w:line="480" w:lineRule="auto"/>
        <w:ind w:left="357" w:hanging="357"/>
        <w:rPr>
          <w:rStyle w:val="identifier"/>
          <w:rFonts w:ascii="Arial" w:hAnsi="Arial" w:cs="Arial"/>
          <w:sz w:val="24"/>
          <w:szCs w:val="24"/>
          <w:lang w:val="en-US"/>
        </w:rPr>
      </w:pPr>
      <w:proofErr w:type="spellStart"/>
      <w:r w:rsidRPr="00514EEC">
        <w:rPr>
          <w:rStyle w:val="selectable"/>
          <w:rFonts w:ascii="Arial" w:hAnsi="Arial" w:cs="Arial"/>
          <w:sz w:val="24"/>
          <w:szCs w:val="24"/>
          <w:lang w:val="en-US"/>
        </w:rPr>
        <w:lastRenderedPageBreak/>
        <w:t>Flöter</w:t>
      </w:r>
      <w:proofErr w:type="spellEnd"/>
      <w:r w:rsidRPr="00514EEC">
        <w:rPr>
          <w:rStyle w:val="selectable"/>
          <w:rFonts w:ascii="Arial" w:hAnsi="Arial" w:cs="Arial"/>
          <w:sz w:val="24"/>
          <w:szCs w:val="24"/>
          <w:lang w:val="en-US"/>
        </w:rPr>
        <w:t xml:space="preserve"> A, </w:t>
      </w:r>
      <w:proofErr w:type="spellStart"/>
      <w:r w:rsidRPr="00514EEC">
        <w:rPr>
          <w:rStyle w:val="selectable"/>
          <w:rFonts w:ascii="Arial" w:hAnsi="Arial" w:cs="Arial"/>
          <w:sz w:val="24"/>
          <w:szCs w:val="24"/>
          <w:lang w:val="en-US"/>
        </w:rPr>
        <w:t>Nathorst-böös</w:t>
      </w:r>
      <w:proofErr w:type="spellEnd"/>
      <w:r w:rsidRPr="00514EEC">
        <w:rPr>
          <w:rStyle w:val="selectable"/>
          <w:rFonts w:ascii="Arial" w:hAnsi="Arial" w:cs="Arial"/>
          <w:sz w:val="24"/>
          <w:szCs w:val="24"/>
          <w:lang w:val="en-US"/>
        </w:rPr>
        <w:t xml:space="preserve"> J, </w:t>
      </w:r>
      <w:proofErr w:type="spellStart"/>
      <w:r w:rsidRPr="00514EEC">
        <w:rPr>
          <w:rStyle w:val="selectable"/>
          <w:rFonts w:ascii="Arial" w:hAnsi="Arial" w:cs="Arial"/>
          <w:sz w:val="24"/>
          <w:szCs w:val="24"/>
          <w:lang w:val="en-US"/>
        </w:rPr>
        <w:t>Carlström</w:t>
      </w:r>
      <w:proofErr w:type="spellEnd"/>
      <w:r w:rsidRPr="00514EEC">
        <w:rPr>
          <w:rStyle w:val="selectable"/>
          <w:rFonts w:ascii="Arial" w:hAnsi="Arial" w:cs="Arial"/>
          <w:sz w:val="24"/>
          <w:szCs w:val="24"/>
          <w:lang w:val="en-US"/>
        </w:rPr>
        <w:t xml:space="preserve"> K, Ohlsson C, </w:t>
      </w:r>
      <w:proofErr w:type="spellStart"/>
      <w:r w:rsidRPr="00514EEC">
        <w:rPr>
          <w:rStyle w:val="selectable"/>
          <w:rFonts w:ascii="Arial" w:hAnsi="Arial" w:cs="Arial"/>
          <w:sz w:val="24"/>
          <w:szCs w:val="24"/>
          <w:lang w:val="en-US"/>
        </w:rPr>
        <w:t>Ringertz</w:t>
      </w:r>
      <w:proofErr w:type="spellEnd"/>
      <w:r w:rsidRPr="00514EEC">
        <w:rPr>
          <w:rStyle w:val="selectable"/>
          <w:rFonts w:ascii="Arial" w:hAnsi="Arial" w:cs="Arial"/>
          <w:sz w:val="24"/>
          <w:szCs w:val="24"/>
          <w:lang w:val="en-US"/>
        </w:rPr>
        <w:t xml:space="preserve"> H, von </w:t>
      </w:r>
      <w:proofErr w:type="spellStart"/>
      <w:r w:rsidRPr="00514EEC">
        <w:rPr>
          <w:rStyle w:val="selectable"/>
          <w:rFonts w:ascii="Arial" w:hAnsi="Arial" w:cs="Arial"/>
          <w:sz w:val="24"/>
          <w:szCs w:val="24"/>
          <w:lang w:val="en-US"/>
        </w:rPr>
        <w:t>Schoultz</w:t>
      </w:r>
      <w:proofErr w:type="spellEnd"/>
      <w:r w:rsidRPr="00514EEC">
        <w:rPr>
          <w:rStyle w:val="selectable"/>
          <w:rFonts w:ascii="Arial" w:hAnsi="Arial" w:cs="Arial"/>
          <w:sz w:val="24"/>
          <w:szCs w:val="24"/>
          <w:lang w:val="en-US"/>
        </w:rPr>
        <w:t xml:space="preserve"> B. Effects of combined estrogen/testosterone therapy on bone and body composition in oophorectomized women. Gynecological Endocrinology. 2005;20(3):155-160. https://doi.org/</w:t>
      </w:r>
      <w:r w:rsidRPr="00514EEC">
        <w:rPr>
          <w:rStyle w:val="identifier"/>
          <w:rFonts w:ascii="Arial" w:hAnsi="Arial" w:cs="Arial"/>
          <w:sz w:val="24"/>
          <w:szCs w:val="24"/>
          <w:lang w:val="en-US"/>
        </w:rPr>
        <w:t>10.1080/09513590400021193.</w:t>
      </w:r>
    </w:p>
    <w:p w14:paraId="2DF70A1D" w14:textId="77777777" w:rsidR="00D714C2" w:rsidRPr="00514EEC" w:rsidRDefault="00D714C2" w:rsidP="00D714C2">
      <w:pPr>
        <w:pStyle w:val="ListParagraph"/>
        <w:numPr>
          <w:ilvl w:val="0"/>
          <w:numId w:val="11"/>
        </w:numPr>
        <w:spacing w:after="0" w:line="480" w:lineRule="auto"/>
        <w:ind w:left="357" w:hanging="357"/>
        <w:rPr>
          <w:rStyle w:val="doi"/>
          <w:rFonts w:ascii="Arial" w:hAnsi="Arial" w:cs="Arial"/>
          <w:sz w:val="24"/>
          <w:szCs w:val="24"/>
          <w:lang w:val="en-US"/>
        </w:rPr>
      </w:pPr>
      <w:proofErr w:type="spellStart"/>
      <w:r w:rsidRPr="00514EEC">
        <w:rPr>
          <w:rStyle w:val="selectable"/>
          <w:rFonts w:ascii="Arial" w:hAnsi="Arial" w:cs="Arial"/>
          <w:sz w:val="24"/>
          <w:szCs w:val="24"/>
          <w:lang w:val="en-US"/>
        </w:rPr>
        <w:t>Lizcano</w:t>
      </w:r>
      <w:proofErr w:type="spellEnd"/>
      <w:r w:rsidRPr="00514EEC">
        <w:rPr>
          <w:rStyle w:val="selectable"/>
          <w:rFonts w:ascii="Arial" w:hAnsi="Arial" w:cs="Arial"/>
          <w:sz w:val="24"/>
          <w:szCs w:val="24"/>
          <w:lang w:val="en-US"/>
        </w:rPr>
        <w:t xml:space="preserve"> F, Guzmán G. Estrogen Deficiency and the Origin of Obesity during Menopause. BioMed Research International. </w:t>
      </w:r>
      <w:proofErr w:type="gramStart"/>
      <w:r w:rsidRPr="00514EEC">
        <w:rPr>
          <w:rStyle w:val="selectable"/>
          <w:rFonts w:ascii="Arial" w:hAnsi="Arial" w:cs="Arial"/>
          <w:sz w:val="24"/>
          <w:szCs w:val="24"/>
          <w:lang w:val="en-US"/>
        </w:rPr>
        <w:t>2014;2014:1</w:t>
      </w:r>
      <w:proofErr w:type="gramEnd"/>
      <w:r w:rsidRPr="00514EEC">
        <w:rPr>
          <w:rStyle w:val="selectable"/>
          <w:rFonts w:ascii="Arial" w:hAnsi="Arial" w:cs="Arial"/>
          <w:sz w:val="24"/>
          <w:szCs w:val="24"/>
          <w:lang w:val="en-US"/>
        </w:rPr>
        <w:t>-11. https://doi.org/</w:t>
      </w:r>
      <w:r w:rsidRPr="00514EEC">
        <w:rPr>
          <w:rStyle w:val="doi"/>
          <w:rFonts w:ascii="Arial" w:hAnsi="Arial" w:cs="Arial"/>
          <w:sz w:val="24"/>
          <w:szCs w:val="24"/>
          <w:lang w:val="en-US"/>
        </w:rPr>
        <w:t>10.1155/2014/757461.</w:t>
      </w:r>
    </w:p>
    <w:p w14:paraId="2B88403D" w14:textId="0698F44A" w:rsidR="003D541E" w:rsidRPr="00D714C2" w:rsidRDefault="00D714C2" w:rsidP="00830047">
      <w:pPr>
        <w:pStyle w:val="ListParagraph"/>
        <w:numPr>
          <w:ilvl w:val="0"/>
          <w:numId w:val="11"/>
        </w:numPr>
        <w:spacing w:after="0" w:line="480" w:lineRule="auto"/>
        <w:ind w:left="357" w:hanging="357"/>
        <w:rPr>
          <w:rFonts w:ascii="Arial" w:hAnsi="Arial" w:cs="Arial"/>
          <w:sz w:val="24"/>
          <w:szCs w:val="24"/>
          <w:lang w:val="en-US"/>
        </w:rPr>
      </w:pPr>
      <w:proofErr w:type="spellStart"/>
      <w:r w:rsidRPr="00514EEC">
        <w:rPr>
          <w:rStyle w:val="selectable"/>
          <w:rFonts w:ascii="Arial" w:hAnsi="Arial" w:cs="Arial"/>
          <w:sz w:val="24"/>
          <w:szCs w:val="24"/>
          <w:lang w:val="en-US"/>
        </w:rPr>
        <w:t>Listrat</w:t>
      </w:r>
      <w:proofErr w:type="spellEnd"/>
      <w:r w:rsidRPr="00514EEC">
        <w:rPr>
          <w:rStyle w:val="selectable"/>
          <w:rFonts w:ascii="Arial" w:hAnsi="Arial" w:cs="Arial"/>
          <w:sz w:val="24"/>
          <w:szCs w:val="24"/>
          <w:lang w:val="en-US"/>
        </w:rPr>
        <w:t xml:space="preserve"> A, </w:t>
      </w:r>
      <w:proofErr w:type="spellStart"/>
      <w:r w:rsidRPr="00514EEC">
        <w:rPr>
          <w:rStyle w:val="selectable"/>
          <w:rFonts w:ascii="Arial" w:hAnsi="Arial" w:cs="Arial"/>
          <w:sz w:val="24"/>
          <w:szCs w:val="24"/>
          <w:lang w:val="en-US"/>
        </w:rPr>
        <w:t>Lebret</w:t>
      </w:r>
      <w:proofErr w:type="spellEnd"/>
      <w:r w:rsidRPr="00514EEC">
        <w:rPr>
          <w:rStyle w:val="selectable"/>
          <w:rFonts w:ascii="Arial" w:hAnsi="Arial" w:cs="Arial"/>
          <w:sz w:val="24"/>
          <w:szCs w:val="24"/>
          <w:lang w:val="en-US"/>
        </w:rPr>
        <w:t xml:space="preserve"> B, </w:t>
      </w:r>
      <w:proofErr w:type="spellStart"/>
      <w:r w:rsidRPr="00514EEC">
        <w:rPr>
          <w:rStyle w:val="selectable"/>
          <w:rFonts w:ascii="Arial" w:hAnsi="Arial" w:cs="Arial"/>
          <w:sz w:val="24"/>
          <w:szCs w:val="24"/>
          <w:lang w:val="en-US"/>
        </w:rPr>
        <w:t>Louveau</w:t>
      </w:r>
      <w:proofErr w:type="spellEnd"/>
      <w:r w:rsidRPr="00514EEC">
        <w:rPr>
          <w:rStyle w:val="selectable"/>
          <w:rFonts w:ascii="Arial" w:hAnsi="Arial" w:cs="Arial"/>
          <w:sz w:val="24"/>
          <w:szCs w:val="24"/>
          <w:lang w:val="en-US"/>
        </w:rPr>
        <w:t xml:space="preserve"> I, </w:t>
      </w:r>
      <w:proofErr w:type="spellStart"/>
      <w:r w:rsidRPr="00514EEC">
        <w:rPr>
          <w:rStyle w:val="selectable"/>
          <w:rFonts w:ascii="Arial" w:hAnsi="Arial" w:cs="Arial"/>
          <w:sz w:val="24"/>
          <w:szCs w:val="24"/>
          <w:lang w:val="en-US"/>
        </w:rPr>
        <w:t>Astruc</w:t>
      </w:r>
      <w:proofErr w:type="spellEnd"/>
      <w:r w:rsidRPr="00514EEC">
        <w:rPr>
          <w:rStyle w:val="selectable"/>
          <w:rFonts w:ascii="Arial" w:hAnsi="Arial" w:cs="Arial"/>
          <w:sz w:val="24"/>
          <w:szCs w:val="24"/>
          <w:lang w:val="en-US"/>
        </w:rPr>
        <w:t xml:space="preserve"> T, Bonnet M, </w:t>
      </w:r>
      <w:proofErr w:type="spellStart"/>
      <w:r w:rsidRPr="00514EEC">
        <w:rPr>
          <w:rStyle w:val="selectable"/>
          <w:rFonts w:ascii="Arial" w:hAnsi="Arial" w:cs="Arial"/>
          <w:sz w:val="24"/>
          <w:szCs w:val="24"/>
          <w:lang w:val="en-US"/>
        </w:rPr>
        <w:t>Lefaucheur</w:t>
      </w:r>
      <w:proofErr w:type="spellEnd"/>
      <w:r w:rsidRPr="00514EEC">
        <w:rPr>
          <w:rStyle w:val="selectable"/>
          <w:rFonts w:ascii="Arial" w:hAnsi="Arial" w:cs="Arial"/>
          <w:sz w:val="24"/>
          <w:szCs w:val="24"/>
          <w:lang w:val="en-US"/>
        </w:rPr>
        <w:t xml:space="preserve"> L, Picard B, </w:t>
      </w:r>
      <w:proofErr w:type="spellStart"/>
      <w:r w:rsidRPr="00514EEC">
        <w:rPr>
          <w:rStyle w:val="selectable"/>
          <w:rFonts w:ascii="Arial" w:hAnsi="Arial" w:cs="Arial"/>
          <w:sz w:val="24"/>
          <w:szCs w:val="24"/>
          <w:lang w:val="en-US"/>
        </w:rPr>
        <w:t>Bugeon</w:t>
      </w:r>
      <w:proofErr w:type="spellEnd"/>
      <w:r w:rsidRPr="00514EEC">
        <w:rPr>
          <w:rStyle w:val="selectable"/>
          <w:rFonts w:ascii="Arial" w:hAnsi="Arial" w:cs="Arial"/>
          <w:sz w:val="24"/>
          <w:szCs w:val="24"/>
          <w:lang w:val="en-US"/>
        </w:rPr>
        <w:t xml:space="preserve"> J. How Muscle Structure and Composition Influence Meat and Flesh Quality. The Scientific World Journal. </w:t>
      </w:r>
      <w:proofErr w:type="gramStart"/>
      <w:r w:rsidRPr="00514EEC">
        <w:rPr>
          <w:rStyle w:val="selectable"/>
          <w:rFonts w:ascii="Arial" w:hAnsi="Arial" w:cs="Arial"/>
          <w:sz w:val="24"/>
          <w:szCs w:val="24"/>
          <w:lang w:val="en-US"/>
        </w:rPr>
        <w:t>2016;2016:1</w:t>
      </w:r>
      <w:proofErr w:type="gramEnd"/>
      <w:r w:rsidRPr="00514EEC">
        <w:rPr>
          <w:rStyle w:val="selectable"/>
          <w:rFonts w:ascii="Arial" w:hAnsi="Arial" w:cs="Arial"/>
          <w:sz w:val="24"/>
          <w:szCs w:val="24"/>
          <w:lang w:val="en-US"/>
        </w:rPr>
        <w:t xml:space="preserve">-14. </w:t>
      </w:r>
      <w:r w:rsidRPr="00514EEC">
        <w:rPr>
          <w:rFonts w:ascii="Arial" w:hAnsi="Arial" w:cs="Arial"/>
          <w:sz w:val="24"/>
          <w:szCs w:val="24"/>
          <w:lang w:val="en-US"/>
        </w:rPr>
        <w:t>https://doi.org/10.1155/2016/3182746.</w:t>
      </w:r>
    </w:p>
    <w:sectPr w:rsidR="003D541E" w:rsidRPr="00D714C2" w:rsidSect="006063BB">
      <w:pgSz w:w="11906" w:h="16838" w:code="9"/>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A8CC" w14:textId="77777777" w:rsidR="00000ABE" w:rsidRDefault="00000ABE" w:rsidP="006D2534">
      <w:pPr>
        <w:spacing w:after="0" w:line="240" w:lineRule="auto"/>
      </w:pPr>
      <w:r>
        <w:separator/>
      </w:r>
    </w:p>
  </w:endnote>
  <w:endnote w:type="continuationSeparator" w:id="0">
    <w:p w14:paraId="468554CC" w14:textId="77777777" w:rsidR="00000ABE" w:rsidRDefault="00000ABE" w:rsidP="006D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dvTT345220aa.B+22">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F5BD" w14:textId="77777777" w:rsidR="00000ABE" w:rsidRDefault="00000ABE" w:rsidP="006D2534">
      <w:pPr>
        <w:spacing w:after="0" w:line="240" w:lineRule="auto"/>
      </w:pPr>
      <w:r>
        <w:separator/>
      </w:r>
    </w:p>
  </w:footnote>
  <w:footnote w:type="continuationSeparator" w:id="0">
    <w:p w14:paraId="36482766" w14:textId="77777777" w:rsidR="00000ABE" w:rsidRDefault="00000ABE" w:rsidP="006D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889279"/>
      <w:docPartObj>
        <w:docPartGallery w:val="Page Numbers (Top of Page)"/>
        <w:docPartUnique/>
      </w:docPartObj>
    </w:sdtPr>
    <w:sdtEndPr>
      <w:rPr>
        <w:noProof/>
      </w:rPr>
    </w:sdtEndPr>
    <w:sdtContent>
      <w:p w14:paraId="35DEACC2" w14:textId="383DD0D0" w:rsidR="0065408A" w:rsidRDefault="0065408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EE3A64" w14:textId="77777777" w:rsidR="0065408A" w:rsidRDefault="0065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513"/>
    <w:multiLevelType w:val="hybridMultilevel"/>
    <w:tmpl w:val="63F4EA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C997E4C"/>
    <w:multiLevelType w:val="hybridMultilevel"/>
    <w:tmpl w:val="2BE4369E"/>
    <w:lvl w:ilvl="0" w:tplc="87E6E95C">
      <w:start w:val="4"/>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1733A"/>
    <w:multiLevelType w:val="hybridMultilevel"/>
    <w:tmpl w:val="E37A6950"/>
    <w:lvl w:ilvl="0" w:tplc="890062AA">
      <w:start w:val="1"/>
      <w:numFmt w:val="decimal"/>
      <w:lvlText w:val="%1."/>
      <w:lvlJc w:val="left"/>
      <w:pPr>
        <w:ind w:left="360" w:hanging="360"/>
      </w:pPr>
      <w:rPr>
        <w:rFonts w:hint="default"/>
        <w:lang w:val="en-S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E378A4"/>
    <w:multiLevelType w:val="hybridMultilevel"/>
    <w:tmpl w:val="C794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86A0D"/>
    <w:multiLevelType w:val="hybridMultilevel"/>
    <w:tmpl w:val="7A56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4B17"/>
    <w:multiLevelType w:val="hybridMultilevel"/>
    <w:tmpl w:val="C794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7954"/>
    <w:multiLevelType w:val="hybridMultilevel"/>
    <w:tmpl w:val="D08C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364"/>
    <w:multiLevelType w:val="hybridMultilevel"/>
    <w:tmpl w:val="08E82B5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6A4657"/>
    <w:multiLevelType w:val="hybridMultilevel"/>
    <w:tmpl w:val="59EA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7314B"/>
    <w:multiLevelType w:val="multilevel"/>
    <w:tmpl w:val="870E8C4C"/>
    <w:lvl w:ilvl="0">
      <w:start w:val="1"/>
      <w:numFmt w:val="bullet"/>
      <w:lvlText w:val=""/>
      <w:lvlJc w:val="left"/>
      <w:pPr>
        <w:tabs>
          <w:tab w:val="num" w:pos="438"/>
        </w:tabs>
        <w:ind w:left="438" w:hanging="360"/>
      </w:pPr>
      <w:rPr>
        <w:rFonts w:ascii="Symbol" w:hAnsi="Symbol" w:hint="default"/>
        <w:sz w:val="20"/>
      </w:rPr>
    </w:lvl>
    <w:lvl w:ilvl="1" w:tentative="1">
      <w:start w:val="1"/>
      <w:numFmt w:val="bullet"/>
      <w:lvlText w:val="o"/>
      <w:lvlJc w:val="left"/>
      <w:pPr>
        <w:tabs>
          <w:tab w:val="num" w:pos="1158"/>
        </w:tabs>
        <w:ind w:left="1158" w:hanging="360"/>
      </w:pPr>
      <w:rPr>
        <w:rFonts w:ascii="Courier New" w:hAnsi="Courier New" w:hint="default"/>
        <w:sz w:val="20"/>
      </w:rPr>
    </w:lvl>
    <w:lvl w:ilvl="2" w:tentative="1">
      <w:start w:val="1"/>
      <w:numFmt w:val="bullet"/>
      <w:lvlText w:val=""/>
      <w:lvlJc w:val="left"/>
      <w:pPr>
        <w:tabs>
          <w:tab w:val="num" w:pos="1878"/>
        </w:tabs>
        <w:ind w:left="1878" w:hanging="360"/>
      </w:pPr>
      <w:rPr>
        <w:rFonts w:ascii="Wingdings" w:hAnsi="Wingdings" w:hint="default"/>
        <w:sz w:val="20"/>
      </w:rPr>
    </w:lvl>
    <w:lvl w:ilvl="3" w:tentative="1">
      <w:start w:val="1"/>
      <w:numFmt w:val="bullet"/>
      <w:lvlText w:val=""/>
      <w:lvlJc w:val="left"/>
      <w:pPr>
        <w:tabs>
          <w:tab w:val="num" w:pos="2598"/>
        </w:tabs>
        <w:ind w:left="2598" w:hanging="360"/>
      </w:pPr>
      <w:rPr>
        <w:rFonts w:ascii="Wingdings" w:hAnsi="Wingdings" w:hint="default"/>
        <w:sz w:val="20"/>
      </w:rPr>
    </w:lvl>
    <w:lvl w:ilvl="4" w:tentative="1">
      <w:start w:val="1"/>
      <w:numFmt w:val="bullet"/>
      <w:lvlText w:val=""/>
      <w:lvlJc w:val="left"/>
      <w:pPr>
        <w:tabs>
          <w:tab w:val="num" w:pos="3318"/>
        </w:tabs>
        <w:ind w:left="3318" w:hanging="360"/>
      </w:pPr>
      <w:rPr>
        <w:rFonts w:ascii="Wingdings" w:hAnsi="Wingdings" w:hint="default"/>
        <w:sz w:val="20"/>
      </w:rPr>
    </w:lvl>
    <w:lvl w:ilvl="5" w:tentative="1">
      <w:start w:val="1"/>
      <w:numFmt w:val="bullet"/>
      <w:lvlText w:val=""/>
      <w:lvlJc w:val="left"/>
      <w:pPr>
        <w:tabs>
          <w:tab w:val="num" w:pos="4038"/>
        </w:tabs>
        <w:ind w:left="4038" w:hanging="360"/>
      </w:pPr>
      <w:rPr>
        <w:rFonts w:ascii="Wingdings" w:hAnsi="Wingdings" w:hint="default"/>
        <w:sz w:val="20"/>
      </w:rPr>
    </w:lvl>
    <w:lvl w:ilvl="6" w:tentative="1">
      <w:start w:val="1"/>
      <w:numFmt w:val="bullet"/>
      <w:lvlText w:val=""/>
      <w:lvlJc w:val="left"/>
      <w:pPr>
        <w:tabs>
          <w:tab w:val="num" w:pos="4758"/>
        </w:tabs>
        <w:ind w:left="4758" w:hanging="360"/>
      </w:pPr>
      <w:rPr>
        <w:rFonts w:ascii="Wingdings" w:hAnsi="Wingdings" w:hint="default"/>
        <w:sz w:val="20"/>
      </w:rPr>
    </w:lvl>
    <w:lvl w:ilvl="7" w:tentative="1">
      <w:start w:val="1"/>
      <w:numFmt w:val="bullet"/>
      <w:lvlText w:val=""/>
      <w:lvlJc w:val="left"/>
      <w:pPr>
        <w:tabs>
          <w:tab w:val="num" w:pos="5478"/>
        </w:tabs>
        <w:ind w:left="5478" w:hanging="360"/>
      </w:pPr>
      <w:rPr>
        <w:rFonts w:ascii="Wingdings" w:hAnsi="Wingdings" w:hint="default"/>
        <w:sz w:val="20"/>
      </w:rPr>
    </w:lvl>
    <w:lvl w:ilvl="8" w:tentative="1">
      <w:start w:val="1"/>
      <w:numFmt w:val="bullet"/>
      <w:lvlText w:val=""/>
      <w:lvlJc w:val="left"/>
      <w:pPr>
        <w:tabs>
          <w:tab w:val="num" w:pos="6198"/>
        </w:tabs>
        <w:ind w:left="6198" w:hanging="360"/>
      </w:pPr>
      <w:rPr>
        <w:rFonts w:ascii="Wingdings" w:hAnsi="Wingdings" w:hint="default"/>
        <w:sz w:val="20"/>
      </w:rPr>
    </w:lvl>
  </w:abstractNum>
  <w:abstractNum w:abstractNumId="10" w15:restartNumberingAfterBreak="0">
    <w:nsid w:val="504F2ACC"/>
    <w:multiLevelType w:val="hybridMultilevel"/>
    <w:tmpl w:val="C794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74CEF"/>
    <w:multiLevelType w:val="hybridMultilevel"/>
    <w:tmpl w:val="0A68B0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3BF5AF8"/>
    <w:multiLevelType w:val="multilevel"/>
    <w:tmpl w:val="58F8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B0C99"/>
    <w:multiLevelType w:val="hybridMultilevel"/>
    <w:tmpl w:val="C794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4E36"/>
    <w:multiLevelType w:val="hybridMultilevel"/>
    <w:tmpl w:val="6F2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2284E"/>
    <w:multiLevelType w:val="hybridMultilevel"/>
    <w:tmpl w:val="D0F60F30"/>
    <w:lvl w:ilvl="0" w:tplc="A522732C">
      <w:start w:val="1"/>
      <w:numFmt w:val="decimal"/>
      <w:lvlText w:val="%1."/>
      <w:lvlJc w:val="left"/>
      <w:pPr>
        <w:ind w:left="360" w:hanging="360"/>
      </w:pPr>
      <w:rPr>
        <w:rFonts w:ascii="Roboto" w:hAnsi="Roboto" w:hint="default"/>
        <w:sz w:val="24"/>
        <w:szCs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265517E"/>
    <w:multiLevelType w:val="hybridMultilevel"/>
    <w:tmpl w:val="3C82B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47758"/>
    <w:multiLevelType w:val="hybridMultilevel"/>
    <w:tmpl w:val="D4C4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17"/>
  </w:num>
  <w:num w:numId="6">
    <w:abstractNumId w:val="16"/>
  </w:num>
  <w:num w:numId="7">
    <w:abstractNumId w:val="8"/>
  </w:num>
  <w:num w:numId="8">
    <w:abstractNumId w:val="6"/>
  </w:num>
  <w:num w:numId="9">
    <w:abstractNumId w:val="14"/>
  </w:num>
  <w:num w:numId="10">
    <w:abstractNumId w:val="4"/>
  </w:num>
  <w:num w:numId="11">
    <w:abstractNumId w:val="15"/>
  </w:num>
  <w:num w:numId="12">
    <w:abstractNumId w:val="9"/>
  </w:num>
  <w:num w:numId="13">
    <w:abstractNumId w:val="10"/>
  </w:num>
  <w:num w:numId="14">
    <w:abstractNumId w:val="12"/>
  </w:num>
  <w:num w:numId="15">
    <w:abstractNumId w:val="3"/>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D5"/>
    <w:rsid w:val="00000ABE"/>
    <w:rsid w:val="00000CA8"/>
    <w:rsid w:val="00003C03"/>
    <w:rsid w:val="00036129"/>
    <w:rsid w:val="00036892"/>
    <w:rsid w:val="00043EBB"/>
    <w:rsid w:val="00063F9B"/>
    <w:rsid w:val="000655DC"/>
    <w:rsid w:val="000729E0"/>
    <w:rsid w:val="00095639"/>
    <w:rsid w:val="000A6969"/>
    <w:rsid w:val="000A6ACE"/>
    <w:rsid w:val="000B4BED"/>
    <w:rsid w:val="000B4ECF"/>
    <w:rsid w:val="000D1265"/>
    <w:rsid w:val="000D4557"/>
    <w:rsid w:val="000E319A"/>
    <w:rsid w:val="000F3D24"/>
    <w:rsid w:val="00105A96"/>
    <w:rsid w:val="00122BD5"/>
    <w:rsid w:val="0013098F"/>
    <w:rsid w:val="0013412E"/>
    <w:rsid w:val="00136AC5"/>
    <w:rsid w:val="001534F6"/>
    <w:rsid w:val="00153BC9"/>
    <w:rsid w:val="0015456E"/>
    <w:rsid w:val="001633D3"/>
    <w:rsid w:val="00164283"/>
    <w:rsid w:val="0017325F"/>
    <w:rsid w:val="00174197"/>
    <w:rsid w:val="00194609"/>
    <w:rsid w:val="0019585B"/>
    <w:rsid w:val="001D030E"/>
    <w:rsid w:val="001D49BD"/>
    <w:rsid w:val="001F7C75"/>
    <w:rsid w:val="002112B6"/>
    <w:rsid w:val="00212E4F"/>
    <w:rsid w:val="002265E4"/>
    <w:rsid w:val="00226C77"/>
    <w:rsid w:val="00227530"/>
    <w:rsid w:val="002343C2"/>
    <w:rsid w:val="00237985"/>
    <w:rsid w:val="00263CBA"/>
    <w:rsid w:val="00270B93"/>
    <w:rsid w:val="00274DF3"/>
    <w:rsid w:val="00295861"/>
    <w:rsid w:val="002A40A1"/>
    <w:rsid w:val="002C7C8A"/>
    <w:rsid w:val="002E073B"/>
    <w:rsid w:val="002E1F2C"/>
    <w:rsid w:val="002F249E"/>
    <w:rsid w:val="002F2B7F"/>
    <w:rsid w:val="00312615"/>
    <w:rsid w:val="00320006"/>
    <w:rsid w:val="00321D7D"/>
    <w:rsid w:val="00325B39"/>
    <w:rsid w:val="00331F56"/>
    <w:rsid w:val="0033461A"/>
    <w:rsid w:val="00343A14"/>
    <w:rsid w:val="00345299"/>
    <w:rsid w:val="003460F8"/>
    <w:rsid w:val="0035399E"/>
    <w:rsid w:val="0035509E"/>
    <w:rsid w:val="003562ED"/>
    <w:rsid w:val="003615D4"/>
    <w:rsid w:val="00371916"/>
    <w:rsid w:val="00373F75"/>
    <w:rsid w:val="00380C79"/>
    <w:rsid w:val="003838A5"/>
    <w:rsid w:val="003A7003"/>
    <w:rsid w:val="003B67DF"/>
    <w:rsid w:val="003D541E"/>
    <w:rsid w:val="003E09CF"/>
    <w:rsid w:val="003E4235"/>
    <w:rsid w:val="003E5674"/>
    <w:rsid w:val="00406310"/>
    <w:rsid w:val="00406397"/>
    <w:rsid w:val="0040774E"/>
    <w:rsid w:val="004116F0"/>
    <w:rsid w:val="0041248D"/>
    <w:rsid w:val="004217C4"/>
    <w:rsid w:val="004221ED"/>
    <w:rsid w:val="00436EA3"/>
    <w:rsid w:val="00437291"/>
    <w:rsid w:val="004606FD"/>
    <w:rsid w:val="0046576B"/>
    <w:rsid w:val="00486455"/>
    <w:rsid w:val="004953DB"/>
    <w:rsid w:val="00496E44"/>
    <w:rsid w:val="004A4FA0"/>
    <w:rsid w:val="004A6166"/>
    <w:rsid w:val="004A6622"/>
    <w:rsid w:val="004D46FC"/>
    <w:rsid w:val="004F0475"/>
    <w:rsid w:val="004F675C"/>
    <w:rsid w:val="005115A8"/>
    <w:rsid w:val="00516FD2"/>
    <w:rsid w:val="005250A1"/>
    <w:rsid w:val="00534164"/>
    <w:rsid w:val="00541B25"/>
    <w:rsid w:val="00560881"/>
    <w:rsid w:val="0056673A"/>
    <w:rsid w:val="00590126"/>
    <w:rsid w:val="005A5557"/>
    <w:rsid w:val="005A787B"/>
    <w:rsid w:val="005B0D22"/>
    <w:rsid w:val="005B160E"/>
    <w:rsid w:val="005B7710"/>
    <w:rsid w:val="005D0FA2"/>
    <w:rsid w:val="005D2347"/>
    <w:rsid w:val="005D3E2F"/>
    <w:rsid w:val="005D7BBD"/>
    <w:rsid w:val="005E5511"/>
    <w:rsid w:val="005F2142"/>
    <w:rsid w:val="005F747F"/>
    <w:rsid w:val="005F7DE0"/>
    <w:rsid w:val="006063BB"/>
    <w:rsid w:val="006069DB"/>
    <w:rsid w:val="00614E26"/>
    <w:rsid w:val="00621E06"/>
    <w:rsid w:val="0064039B"/>
    <w:rsid w:val="00641419"/>
    <w:rsid w:val="0065408A"/>
    <w:rsid w:val="00654500"/>
    <w:rsid w:val="006558FB"/>
    <w:rsid w:val="0065592F"/>
    <w:rsid w:val="00656341"/>
    <w:rsid w:val="0065682D"/>
    <w:rsid w:val="00661EC1"/>
    <w:rsid w:val="00664AAA"/>
    <w:rsid w:val="006751C3"/>
    <w:rsid w:val="00687F1A"/>
    <w:rsid w:val="006929EE"/>
    <w:rsid w:val="006954FC"/>
    <w:rsid w:val="00696D28"/>
    <w:rsid w:val="006A1BA0"/>
    <w:rsid w:val="006A24C6"/>
    <w:rsid w:val="006B5EC4"/>
    <w:rsid w:val="006D0653"/>
    <w:rsid w:val="006D2534"/>
    <w:rsid w:val="006D61C8"/>
    <w:rsid w:val="006D7CED"/>
    <w:rsid w:val="006E2A8F"/>
    <w:rsid w:val="00726D02"/>
    <w:rsid w:val="00730A43"/>
    <w:rsid w:val="0073314F"/>
    <w:rsid w:val="0073316E"/>
    <w:rsid w:val="00750A82"/>
    <w:rsid w:val="007510A4"/>
    <w:rsid w:val="007528EB"/>
    <w:rsid w:val="007537E5"/>
    <w:rsid w:val="00760286"/>
    <w:rsid w:val="00774485"/>
    <w:rsid w:val="007851B2"/>
    <w:rsid w:val="0078656E"/>
    <w:rsid w:val="00797C1D"/>
    <w:rsid w:val="007B1EC2"/>
    <w:rsid w:val="007C698C"/>
    <w:rsid w:val="007D1D62"/>
    <w:rsid w:val="007F297C"/>
    <w:rsid w:val="007F3426"/>
    <w:rsid w:val="0080218B"/>
    <w:rsid w:val="008127C3"/>
    <w:rsid w:val="008154E6"/>
    <w:rsid w:val="00830047"/>
    <w:rsid w:val="00833989"/>
    <w:rsid w:val="008358DE"/>
    <w:rsid w:val="00840F33"/>
    <w:rsid w:val="008514EF"/>
    <w:rsid w:val="00884C8A"/>
    <w:rsid w:val="008857F2"/>
    <w:rsid w:val="00885C7D"/>
    <w:rsid w:val="00886BDF"/>
    <w:rsid w:val="00890B8B"/>
    <w:rsid w:val="008A5A98"/>
    <w:rsid w:val="008B378C"/>
    <w:rsid w:val="008C0121"/>
    <w:rsid w:val="008C79B3"/>
    <w:rsid w:val="008D3690"/>
    <w:rsid w:val="008D6291"/>
    <w:rsid w:val="008E16B0"/>
    <w:rsid w:val="008E570E"/>
    <w:rsid w:val="009008C4"/>
    <w:rsid w:val="009019AA"/>
    <w:rsid w:val="00901ABD"/>
    <w:rsid w:val="00902109"/>
    <w:rsid w:val="00903AE2"/>
    <w:rsid w:val="00904A39"/>
    <w:rsid w:val="0094605E"/>
    <w:rsid w:val="0095064A"/>
    <w:rsid w:val="00955009"/>
    <w:rsid w:val="00956D9E"/>
    <w:rsid w:val="00976B78"/>
    <w:rsid w:val="009912F5"/>
    <w:rsid w:val="00991E4A"/>
    <w:rsid w:val="009939A2"/>
    <w:rsid w:val="00996E10"/>
    <w:rsid w:val="009A4A7F"/>
    <w:rsid w:val="009A741F"/>
    <w:rsid w:val="009A7699"/>
    <w:rsid w:val="009B112F"/>
    <w:rsid w:val="009B38B5"/>
    <w:rsid w:val="009B4563"/>
    <w:rsid w:val="009B4E4A"/>
    <w:rsid w:val="009C5C9A"/>
    <w:rsid w:val="009D5E82"/>
    <w:rsid w:val="009E1E74"/>
    <w:rsid w:val="009E3A1B"/>
    <w:rsid w:val="009E75A2"/>
    <w:rsid w:val="00A01D46"/>
    <w:rsid w:val="00A12CE4"/>
    <w:rsid w:val="00A314A4"/>
    <w:rsid w:val="00A32921"/>
    <w:rsid w:val="00A37E11"/>
    <w:rsid w:val="00A411D0"/>
    <w:rsid w:val="00A479D9"/>
    <w:rsid w:val="00A65D45"/>
    <w:rsid w:val="00A86BC7"/>
    <w:rsid w:val="00A9136F"/>
    <w:rsid w:val="00A928C8"/>
    <w:rsid w:val="00A97515"/>
    <w:rsid w:val="00AA3A30"/>
    <w:rsid w:val="00AB7207"/>
    <w:rsid w:val="00AC1FE5"/>
    <w:rsid w:val="00AC7F04"/>
    <w:rsid w:val="00AD4352"/>
    <w:rsid w:val="00AD5415"/>
    <w:rsid w:val="00AD5FDC"/>
    <w:rsid w:val="00AE6DDD"/>
    <w:rsid w:val="00AE6F01"/>
    <w:rsid w:val="00AF08A4"/>
    <w:rsid w:val="00AF2DCC"/>
    <w:rsid w:val="00B0264C"/>
    <w:rsid w:val="00B03C86"/>
    <w:rsid w:val="00B05C15"/>
    <w:rsid w:val="00B106B1"/>
    <w:rsid w:val="00B166E0"/>
    <w:rsid w:val="00B24F6B"/>
    <w:rsid w:val="00B404EA"/>
    <w:rsid w:val="00B5726D"/>
    <w:rsid w:val="00B80643"/>
    <w:rsid w:val="00BA04B7"/>
    <w:rsid w:val="00BA2D93"/>
    <w:rsid w:val="00BA5321"/>
    <w:rsid w:val="00BB1F73"/>
    <w:rsid w:val="00BC52CC"/>
    <w:rsid w:val="00BD54D3"/>
    <w:rsid w:val="00BF7869"/>
    <w:rsid w:val="00C0067E"/>
    <w:rsid w:val="00C36E60"/>
    <w:rsid w:val="00C72E71"/>
    <w:rsid w:val="00C93107"/>
    <w:rsid w:val="00C9465F"/>
    <w:rsid w:val="00C97D4F"/>
    <w:rsid w:val="00CB6AFB"/>
    <w:rsid w:val="00CC1194"/>
    <w:rsid w:val="00CD2093"/>
    <w:rsid w:val="00CE1F15"/>
    <w:rsid w:val="00CF1CC7"/>
    <w:rsid w:val="00CF49A3"/>
    <w:rsid w:val="00D129C8"/>
    <w:rsid w:val="00D13E62"/>
    <w:rsid w:val="00D169B2"/>
    <w:rsid w:val="00D16E7B"/>
    <w:rsid w:val="00D2211F"/>
    <w:rsid w:val="00D24907"/>
    <w:rsid w:val="00D32E14"/>
    <w:rsid w:val="00D37C05"/>
    <w:rsid w:val="00D50AEB"/>
    <w:rsid w:val="00D65E10"/>
    <w:rsid w:val="00D67505"/>
    <w:rsid w:val="00D714C2"/>
    <w:rsid w:val="00D80598"/>
    <w:rsid w:val="00DA6332"/>
    <w:rsid w:val="00DA7E34"/>
    <w:rsid w:val="00DB3054"/>
    <w:rsid w:val="00DB66AC"/>
    <w:rsid w:val="00DB71E3"/>
    <w:rsid w:val="00DC1A6C"/>
    <w:rsid w:val="00DE2035"/>
    <w:rsid w:val="00DF29D2"/>
    <w:rsid w:val="00E02E8E"/>
    <w:rsid w:val="00E12F59"/>
    <w:rsid w:val="00E14F89"/>
    <w:rsid w:val="00E22675"/>
    <w:rsid w:val="00E27C8B"/>
    <w:rsid w:val="00E5200A"/>
    <w:rsid w:val="00E539CD"/>
    <w:rsid w:val="00E61673"/>
    <w:rsid w:val="00E70F99"/>
    <w:rsid w:val="00E817B2"/>
    <w:rsid w:val="00E84CDC"/>
    <w:rsid w:val="00EA6CF0"/>
    <w:rsid w:val="00EB1018"/>
    <w:rsid w:val="00EC5706"/>
    <w:rsid w:val="00EE5C0A"/>
    <w:rsid w:val="00EE642C"/>
    <w:rsid w:val="00EE6B8D"/>
    <w:rsid w:val="00F038E1"/>
    <w:rsid w:val="00F15390"/>
    <w:rsid w:val="00F24446"/>
    <w:rsid w:val="00F50979"/>
    <w:rsid w:val="00F518E6"/>
    <w:rsid w:val="00F61186"/>
    <w:rsid w:val="00F62E3E"/>
    <w:rsid w:val="00F65B45"/>
    <w:rsid w:val="00F65BE2"/>
    <w:rsid w:val="00F82041"/>
    <w:rsid w:val="00FA15B3"/>
    <w:rsid w:val="00FA4669"/>
    <w:rsid w:val="00FB6258"/>
    <w:rsid w:val="00FD0225"/>
    <w:rsid w:val="00FD48D4"/>
    <w:rsid w:val="00FD5E1B"/>
    <w:rsid w:val="00FD6574"/>
    <w:rsid w:val="00FF259C"/>
    <w:rsid w:val="00FF6F0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15DA"/>
  <w15:chartTrackingRefBased/>
  <w15:docId w15:val="{2AF1B722-FF01-4134-8C36-3A0A6DD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D5"/>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122BD5"/>
  </w:style>
  <w:style w:type="paragraph" w:customStyle="1" w:styleId="Default">
    <w:name w:val="Default"/>
    <w:rsid w:val="00122BD5"/>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paragraph" w:styleId="ListParagraph">
    <w:name w:val="List Paragraph"/>
    <w:basedOn w:val="Normal"/>
    <w:uiPriority w:val="34"/>
    <w:qFormat/>
    <w:rsid w:val="00122BD5"/>
    <w:pPr>
      <w:ind w:left="720"/>
      <w:contextualSpacing/>
    </w:pPr>
  </w:style>
  <w:style w:type="paragraph" w:styleId="CommentText">
    <w:name w:val="annotation text"/>
    <w:basedOn w:val="Normal"/>
    <w:link w:val="CommentTextChar"/>
    <w:uiPriority w:val="99"/>
    <w:unhideWhenUsed/>
    <w:rsid w:val="00122BD5"/>
    <w:pPr>
      <w:spacing w:line="240" w:lineRule="auto"/>
    </w:pPr>
    <w:rPr>
      <w:sz w:val="20"/>
      <w:szCs w:val="20"/>
    </w:rPr>
  </w:style>
  <w:style w:type="character" w:customStyle="1" w:styleId="CommentTextChar">
    <w:name w:val="Comment Text Char"/>
    <w:basedOn w:val="DefaultParagraphFont"/>
    <w:link w:val="CommentText"/>
    <w:uiPriority w:val="99"/>
    <w:rsid w:val="00122BD5"/>
    <w:rPr>
      <w:sz w:val="20"/>
      <w:szCs w:val="20"/>
      <w:lang w:val="en-SG"/>
    </w:rPr>
  </w:style>
  <w:style w:type="paragraph" w:styleId="BalloonText">
    <w:name w:val="Balloon Text"/>
    <w:basedOn w:val="Normal"/>
    <w:link w:val="BalloonTextChar"/>
    <w:uiPriority w:val="99"/>
    <w:semiHidden/>
    <w:unhideWhenUsed/>
    <w:rsid w:val="0033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1A"/>
    <w:rPr>
      <w:rFonts w:ascii="Segoe UI" w:hAnsi="Segoe UI" w:cs="Segoe UI"/>
      <w:sz w:val="18"/>
      <w:szCs w:val="18"/>
      <w:lang w:val="en-SG"/>
    </w:rPr>
  </w:style>
  <w:style w:type="character" w:styleId="Hyperlink">
    <w:name w:val="Hyperlink"/>
    <w:basedOn w:val="DefaultParagraphFont"/>
    <w:uiPriority w:val="99"/>
    <w:unhideWhenUsed/>
    <w:rsid w:val="009A741F"/>
    <w:rPr>
      <w:color w:val="0563C1" w:themeColor="hyperlink"/>
      <w:u w:val="single"/>
    </w:rPr>
  </w:style>
  <w:style w:type="character" w:customStyle="1" w:styleId="UnresolvedMention1">
    <w:name w:val="Unresolved Mention1"/>
    <w:basedOn w:val="DefaultParagraphFont"/>
    <w:uiPriority w:val="99"/>
    <w:semiHidden/>
    <w:unhideWhenUsed/>
    <w:rsid w:val="009A741F"/>
    <w:rPr>
      <w:color w:val="605E5C"/>
      <w:shd w:val="clear" w:color="auto" w:fill="E1DFDD"/>
    </w:rPr>
  </w:style>
  <w:style w:type="character" w:customStyle="1" w:styleId="doi">
    <w:name w:val="doi"/>
    <w:basedOn w:val="DefaultParagraphFont"/>
    <w:rsid w:val="000729E0"/>
  </w:style>
  <w:style w:type="character" w:customStyle="1" w:styleId="meta-citation">
    <w:name w:val="meta-citation"/>
    <w:basedOn w:val="DefaultParagraphFont"/>
    <w:rsid w:val="008857F2"/>
  </w:style>
  <w:style w:type="character" w:customStyle="1" w:styleId="identifier">
    <w:name w:val="identifier"/>
    <w:basedOn w:val="DefaultParagraphFont"/>
    <w:rsid w:val="008857F2"/>
  </w:style>
  <w:style w:type="character" w:styleId="CommentReference">
    <w:name w:val="annotation reference"/>
    <w:basedOn w:val="DefaultParagraphFont"/>
    <w:uiPriority w:val="99"/>
    <w:semiHidden/>
    <w:unhideWhenUsed/>
    <w:rsid w:val="00996E10"/>
    <w:rPr>
      <w:sz w:val="16"/>
      <w:szCs w:val="16"/>
    </w:rPr>
  </w:style>
  <w:style w:type="paragraph" w:styleId="CommentSubject">
    <w:name w:val="annotation subject"/>
    <w:basedOn w:val="CommentText"/>
    <w:next w:val="CommentText"/>
    <w:link w:val="CommentSubjectChar"/>
    <w:uiPriority w:val="99"/>
    <w:semiHidden/>
    <w:unhideWhenUsed/>
    <w:rsid w:val="00996E10"/>
    <w:rPr>
      <w:b/>
      <w:bCs/>
    </w:rPr>
  </w:style>
  <w:style w:type="character" w:customStyle="1" w:styleId="CommentSubjectChar">
    <w:name w:val="Comment Subject Char"/>
    <w:basedOn w:val="CommentTextChar"/>
    <w:link w:val="CommentSubject"/>
    <w:uiPriority w:val="99"/>
    <w:semiHidden/>
    <w:rsid w:val="00996E10"/>
    <w:rPr>
      <w:b/>
      <w:bCs/>
      <w:sz w:val="20"/>
      <w:szCs w:val="20"/>
      <w:lang w:val="en-SG"/>
    </w:rPr>
  </w:style>
  <w:style w:type="paragraph" w:styleId="Revision">
    <w:name w:val="Revision"/>
    <w:hidden/>
    <w:uiPriority w:val="99"/>
    <w:semiHidden/>
    <w:rsid w:val="0017325F"/>
    <w:pPr>
      <w:spacing w:after="0" w:line="240" w:lineRule="auto"/>
    </w:pPr>
    <w:rPr>
      <w:lang w:val="en-SG"/>
    </w:rPr>
  </w:style>
  <w:style w:type="character" w:styleId="Emphasis">
    <w:name w:val="Emphasis"/>
    <w:basedOn w:val="DefaultParagraphFont"/>
    <w:uiPriority w:val="20"/>
    <w:qFormat/>
    <w:rsid w:val="004606FD"/>
    <w:rPr>
      <w:i/>
      <w:iCs/>
    </w:rPr>
  </w:style>
  <w:style w:type="character" w:styleId="UnresolvedMention">
    <w:name w:val="Unresolved Mention"/>
    <w:basedOn w:val="DefaultParagraphFont"/>
    <w:uiPriority w:val="99"/>
    <w:semiHidden/>
    <w:unhideWhenUsed/>
    <w:rsid w:val="002E073B"/>
    <w:rPr>
      <w:color w:val="605E5C"/>
      <w:shd w:val="clear" w:color="auto" w:fill="E1DFDD"/>
    </w:rPr>
  </w:style>
  <w:style w:type="table" w:styleId="TableGrid">
    <w:name w:val="Table Grid"/>
    <w:basedOn w:val="TableNormal"/>
    <w:uiPriority w:val="39"/>
    <w:rsid w:val="001534F6"/>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4F6"/>
    <w:rPr>
      <w:color w:val="808080"/>
    </w:rPr>
  </w:style>
  <w:style w:type="character" w:customStyle="1" w:styleId="A4">
    <w:name w:val="A4"/>
    <w:uiPriority w:val="99"/>
    <w:rsid w:val="00A9136F"/>
    <w:rPr>
      <w:rFonts w:cs="Times"/>
      <w:color w:val="000000"/>
      <w:sz w:val="14"/>
      <w:szCs w:val="14"/>
    </w:rPr>
  </w:style>
  <w:style w:type="paragraph" w:styleId="NormalWeb">
    <w:name w:val="Normal (Web)"/>
    <w:basedOn w:val="Normal"/>
    <w:uiPriority w:val="99"/>
    <w:unhideWhenUsed/>
    <w:rsid w:val="00C946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D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534"/>
    <w:rPr>
      <w:lang w:val="en-SG"/>
    </w:rPr>
  </w:style>
  <w:style w:type="paragraph" w:styleId="Footer">
    <w:name w:val="footer"/>
    <w:basedOn w:val="Normal"/>
    <w:link w:val="FooterChar"/>
    <w:uiPriority w:val="99"/>
    <w:unhideWhenUsed/>
    <w:rsid w:val="006D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34"/>
    <w:rPr>
      <w:lang w:val="en-SG"/>
    </w:rPr>
  </w:style>
  <w:style w:type="character" w:styleId="LineNumber">
    <w:name w:val="line number"/>
    <w:basedOn w:val="DefaultParagraphFont"/>
    <w:uiPriority w:val="99"/>
    <w:semiHidden/>
    <w:unhideWhenUsed/>
    <w:rsid w:val="007537E5"/>
  </w:style>
  <w:style w:type="paragraph" w:styleId="HTMLPreformatted">
    <w:name w:val="HTML Preformatted"/>
    <w:basedOn w:val="Normal"/>
    <w:link w:val="HTMLPreformattedChar"/>
    <w:uiPriority w:val="99"/>
    <w:unhideWhenUsed/>
    <w:rsid w:val="002F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2B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4106">
      <w:bodyDiv w:val="1"/>
      <w:marLeft w:val="0"/>
      <w:marRight w:val="0"/>
      <w:marTop w:val="0"/>
      <w:marBottom w:val="0"/>
      <w:divBdr>
        <w:top w:val="none" w:sz="0" w:space="0" w:color="auto"/>
        <w:left w:val="none" w:sz="0" w:space="0" w:color="auto"/>
        <w:bottom w:val="none" w:sz="0" w:space="0" w:color="auto"/>
        <w:right w:val="none" w:sz="0" w:space="0" w:color="auto"/>
      </w:divBdr>
    </w:div>
    <w:div w:id="259994255">
      <w:bodyDiv w:val="1"/>
      <w:marLeft w:val="0"/>
      <w:marRight w:val="0"/>
      <w:marTop w:val="0"/>
      <w:marBottom w:val="0"/>
      <w:divBdr>
        <w:top w:val="none" w:sz="0" w:space="0" w:color="auto"/>
        <w:left w:val="none" w:sz="0" w:space="0" w:color="auto"/>
        <w:bottom w:val="none" w:sz="0" w:space="0" w:color="auto"/>
        <w:right w:val="none" w:sz="0" w:space="0" w:color="auto"/>
      </w:divBdr>
    </w:div>
    <w:div w:id="618268053">
      <w:bodyDiv w:val="1"/>
      <w:marLeft w:val="0"/>
      <w:marRight w:val="0"/>
      <w:marTop w:val="0"/>
      <w:marBottom w:val="0"/>
      <w:divBdr>
        <w:top w:val="none" w:sz="0" w:space="0" w:color="auto"/>
        <w:left w:val="none" w:sz="0" w:space="0" w:color="auto"/>
        <w:bottom w:val="none" w:sz="0" w:space="0" w:color="auto"/>
        <w:right w:val="none" w:sz="0" w:space="0" w:color="auto"/>
      </w:divBdr>
    </w:div>
    <w:div w:id="1267693683">
      <w:bodyDiv w:val="1"/>
      <w:marLeft w:val="0"/>
      <w:marRight w:val="0"/>
      <w:marTop w:val="0"/>
      <w:marBottom w:val="0"/>
      <w:divBdr>
        <w:top w:val="none" w:sz="0" w:space="0" w:color="auto"/>
        <w:left w:val="none" w:sz="0" w:space="0" w:color="auto"/>
        <w:bottom w:val="none" w:sz="0" w:space="0" w:color="auto"/>
        <w:right w:val="none" w:sz="0" w:space="0" w:color="auto"/>
      </w:divBdr>
      <w:divsChild>
        <w:div w:id="2068071894">
          <w:marLeft w:val="0"/>
          <w:marRight w:val="0"/>
          <w:marTop w:val="0"/>
          <w:marBottom w:val="0"/>
          <w:divBdr>
            <w:top w:val="none" w:sz="0" w:space="0" w:color="auto"/>
            <w:left w:val="none" w:sz="0" w:space="0" w:color="auto"/>
            <w:bottom w:val="none" w:sz="0" w:space="0" w:color="auto"/>
            <w:right w:val="none" w:sz="0" w:space="0" w:color="auto"/>
          </w:divBdr>
        </w:div>
      </w:divsChild>
    </w:div>
    <w:div w:id="1306273629">
      <w:bodyDiv w:val="1"/>
      <w:marLeft w:val="0"/>
      <w:marRight w:val="0"/>
      <w:marTop w:val="0"/>
      <w:marBottom w:val="0"/>
      <w:divBdr>
        <w:top w:val="none" w:sz="0" w:space="0" w:color="auto"/>
        <w:left w:val="none" w:sz="0" w:space="0" w:color="auto"/>
        <w:bottom w:val="none" w:sz="0" w:space="0" w:color="auto"/>
        <w:right w:val="none" w:sz="0" w:space="0" w:color="auto"/>
      </w:divBdr>
    </w:div>
    <w:div w:id="1343704220">
      <w:bodyDiv w:val="1"/>
      <w:marLeft w:val="0"/>
      <w:marRight w:val="0"/>
      <w:marTop w:val="0"/>
      <w:marBottom w:val="0"/>
      <w:divBdr>
        <w:top w:val="none" w:sz="0" w:space="0" w:color="auto"/>
        <w:left w:val="none" w:sz="0" w:space="0" w:color="auto"/>
        <w:bottom w:val="none" w:sz="0" w:space="0" w:color="auto"/>
        <w:right w:val="none" w:sz="0" w:space="0" w:color="auto"/>
      </w:divBdr>
      <w:divsChild>
        <w:div w:id="2009283110">
          <w:marLeft w:val="0"/>
          <w:marRight w:val="0"/>
          <w:marTop w:val="0"/>
          <w:marBottom w:val="0"/>
          <w:divBdr>
            <w:top w:val="none" w:sz="0" w:space="0" w:color="auto"/>
            <w:left w:val="none" w:sz="0" w:space="0" w:color="auto"/>
            <w:bottom w:val="none" w:sz="0" w:space="0" w:color="auto"/>
            <w:right w:val="none" w:sz="0" w:space="0" w:color="auto"/>
          </w:divBdr>
          <w:divsChild>
            <w:div w:id="1981694363">
              <w:marLeft w:val="0"/>
              <w:marRight w:val="0"/>
              <w:marTop w:val="0"/>
              <w:marBottom w:val="0"/>
              <w:divBdr>
                <w:top w:val="none" w:sz="0" w:space="0" w:color="auto"/>
                <w:left w:val="none" w:sz="0" w:space="0" w:color="auto"/>
                <w:bottom w:val="none" w:sz="0" w:space="0" w:color="auto"/>
                <w:right w:val="none" w:sz="0" w:space="0" w:color="auto"/>
              </w:divBdr>
              <w:divsChild>
                <w:div w:id="2062903957">
                  <w:marLeft w:val="0"/>
                  <w:marRight w:val="0"/>
                  <w:marTop w:val="0"/>
                  <w:marBottom w:val="0"/>
                  <w:divBdr>
                    <w:top w:val="none" w:sz="0" w:space="0" w:color="auto"/>
                    <w:left w:val="none" w:sz="0" w:space="0" w:color="auto"/>
                    <w:bottom w:val="none" w:sz="0" w:space="0" w:color="auto"/>
                    <w:right w:val="none" w:sz="0" w:space="0" w:color="auto"/>
                  </w:divBdr>
                  <w:divsChild>
                    <w:div w:id="662585562">
                      <w:marLeft w:val="0"/>
                      <w:marRight w:val="0"/>
                      <w:marTop w:val="0"/>
                      <w:marBottom w:val="0"/>
                      <w:divBdr>
                        <w:top w:val="none" w:sz="0" w:space="0" w:color="auto"/>
                        <w:left w:val="none" w:sz="0" w:space="0" w:color="auto"/>
                        <w:bottom w:val="none" w:sz="0" w:space="0" w:color="auto"/>
                        <w:right w:val="none" w:sz="0" w:space="0" w:color="auto"/>
                      </w:divBdr>
                      <w:divsChild>
                        <w:div w:id="360710555">
                          <w:marLeft w:val="0"/>
                          <w:marRight w:val="0"/>
                          <w:marTop w:val="0"/>
                          <w:marBottom w:val="0"/>
                          <w:divBdr>
                            <w:top w:val="none" w:sz="0" w:space="0" w:color="auto"/>
                            <w:left w:val="none" w:sz="0" w:space="0" w:color="auto"/>
                            <w:bottom w:val="none" w:sz="0" w:space="0" w:color="auto"/>
                            <w:right w:val="none" w:sz="0" w:space="0" w:color="auto"/>
                          </w:divBdr>
                          <w:divsChild>
                            <w:div w:id="1485975959">
                              <w:marLeft w:val="0"/>
                              <w:marRight w:val="0"/>
                              <w:marTop w:val="0"/>
                              <w:marBottom w:val="0"/>
                              <w:divBdr>
                                <w:top w:val="none" w:sz="0" w:space="0" w:color="auto"/>
                                <w:left w:val="none" w:sz="0" w:space="0" w:color="auto"/>
                                <w:bottom w:val="none" w:sz="0" w:space="0" w:color="auto"/>
                                <w:right w:val="none" w:sz="0" w:space="0" w:color="auto"/>
                              </w:divBdr>
                              <w:divsChild>
                                <w:div w:id="175772889">
                                  <w:marLeft w:val="0"/>
                                  <w:marRight w:val="0"/>
                                  <w:marTop w:val="0"/>
                                  <w:marBottom w:val="0"/>
                                  <w:divBdr>
                                    <w:top w:val="none" w:sz="0" w:space="0" w:color="auto"/>
                                    <w:left w:val="none" w:sz="0" w:space="0" w:color="auto"/>
                                    <w:bottom w:val="none" w:sz="0" w:space="0" w:color="auto"/>
                                    <w:right w:val="none" w:sz="0" w:space="0" w:color="auto"/>
                                  </w:divBdr>
                                  <w:divsChild>
                                    <w:div w:id="355620960">
                                      <w:marLeft w:val="0"/>
                                      <w:marRight w:val="0"/>
                                      <w:marTop w:val="0"/>
                                      <w:marBottom w:val="0"/>
                                      <w:divBdr>
                                        <w:top w:val="none" w:sz="0" w:space="0" w:color="auto"/>
                                        <w:left w:val="none" w:sz="0" w:space="0" w:color="auto"/>
                                        <w:bottom w:val="none" w:sz="0" w:space="0" w:color="auto"/>
                                        <w:right w:val="none" w:sz="0" w:space="0" w:color="auto"/>
                                      </w:divBdr>
                                      <w:divsChild>
                                        <w:div w:id="348869518">
                                          <w:marLeft w:val="0"/>
                                          <w:marRight w:val="0"/>
                                          <w:marTop w:val="0"/>
                                          <w:marBottom w:val="0"/>
                                          <w:divBdr>
                                            <w:top w:val="none" w:sz="0" w:space="0" w:color="auto"/>
                                            <w:left w:val="none" w:sz="0" w:space="0" w:color="auto"/>
                                            <w:bottom w:val="none" w:sz="0" w:space="0" w:color="auto"/>
                                            <w:right w:val="none" w:sz="0" w:space="0" w:color="auto"/>
                                          </w:divBdr>
                                          <w:divsChild>
                                            <w:div w:id="2623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15735">
      <w:bodyDiv w:val="1"/>
      <w:marLeft w:val="0"/>
      <w:marRight w:val="0"/>
      <w:marTop w:val="0"/>
      <w:marBottom w:val="0"/>
      <w:divBdr>
        <w:top w:val="none" w:sz="0" w:space="0" w:color="auto"/>
        <w:left w:val="none" w:sz="0" w:space="0" w:color="auto"/>
        <w:bottom w:val="none" w:sz="0" w:space="0" w:color="auto"/>
        <w:right w:val="none" w:sz="0" w:space="0" w:color="auto"/>
      </w:divBdr>
    </w:div>
    <w:div w:id="1783568379">
      <w:bodyDiv w:val="1"/>
      <w:marLeft w:val="0"/>
      <w:marRight w:val="0"/>
      <w:marTop w:val="0"/>
      <w:marBottom w:val="0"/>
      <w:divBdr>
        <w:top w:val="none" w:sz="0" w:space="0" w:color="auto"/>
        <w:left w:val="none" w:sz="0" w:space="0" w:color="auto"/>
        <w:bottom w:val="none" w:sz="0" w:space="0" w:color="auto"/>
        <w:right w:val="none" w:sz="0" w:space="0" w:color="auto"/>
      </w:divBdr>
    </w:div>
    <w:div w:id="2146268328">
      <w:bodyDiv w:val="1"/>
      <w:marLeft w:val="0"/>
      <w:marRight w:val="0"/>
      <w:marTop w:val="0"/>
      <w:marBottom w:val="0"/>
      <w:divBdr>
        <w:top w:val="none" w:sz="0" w:space="0" w:color="auto"/>
        <w:left w:val="none" w:sz="0" w:space="0" w:color="auto"/>
        <w:bottom w:val="none" w:sz="0" w:space="0" w:color="auto"/>
        <w:right w:val="none" w:sz="0" w:space="0" w:color="auto"/>
      </w:divBdr>
      <w:divsChild>
        <w:div w:id="155230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shioulia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3enanap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0BC7-9855-47DD-BB3F-5C2823F5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Pang</dc:creator>
  <cp:keywords/>
  <dc:description/>
  <cp:lastModifiedBy>Shiou Liang Wee</cp:lastModifiedBy>
  <cp:revision>13</cp:revision>
  <dcterms:created xsi:type="dcterms:W3CDTF">2020-07-29T08:16:00Z</dcterms:created>
  <dcterms:modified xsi:type="dcterms:W3CDTF">2020-10-19T06:34:00Z</dcterms:modified>
</cp:coreProperties>
</file>